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Pr="00AE1D61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FAKTORINGU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_Toc26427680"/>
      <w:bookmarkStart w:id="1" w:name="_Toc28347746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I</w:t>
      </w:r>
      <w:bookmarkEnd w:id="0"/>
      <w:bookmarkEnd w:id="1"/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2" w:name="_Toc26539141"/>
      <w:bookmarkStart w:id="3" w:name="_Toc26799755"/>
      <w:bookmarkStart w:id="4" w:name="_Toc26880539"/>
      <w:bookmarkStart w:id="5" w:name="_Toc28347747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OSNOVNE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ODREDB</w:t>
      </w:r>
      <w:bookmarkEnd w:id="2"/>
      <w:bookmarkEnd w:id="3"/>
      <w:bookmarkEnd w:id="4"/>
      <w:bookmarkEnd w:id="5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6" w:name="_Toc28347748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</w:t>
      </w:r>
      <w:bookmarkEnd w:id="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7" w:name="_Toc26427683"/>
      <w:bookmarkStart w:id="8" w:name="_Toc26539143"/>
      <w:bookmarkStart w:id="9" w:name="_Toc26799757"/>
      <w:bookmarkStart w:id="10" w:name="_Toc26880541"/>
      <w:bookmarkStart w:id="11" w:name="_Toc28347749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1.</w:t>
      </w:r>
      <w:bookmarkEnd w:id="7"/>
      <w:bookmarkEnd w:id="8"/>
      <w:bookmarkEnd w:id="9"/>
      <w:bookmarkEnd w:id="10"/>
      <w:bookmarkEnd w:id="11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pojam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2" w:name="_Toc28347750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Značenje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pojedinih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pojmov</w:t>
      </w:r>
      <w:bookmarkEnd w:id="1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3" w:name="_Toc26427685"/>
      <w:bookmarkStart w:id="14" w:name="_Toc26539145"/>
      <w:bookmarkStart w:id="15" w:name="_Toc26799759"/>
      <w:bookmarkStart w:id="16" w:name="_Toc26880543"/>
      <w:bookmarkStart w:id="17" w:name="_Toc2834775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2.</w:t>
      </w:r>
      <w:bookmarkEnd w:id="13"/>
      <w:bookmarkEnd w:id="14"/>
      <w:bookmarkEnd w:id="15"/>
      <w:bookmarkEnd w:id="16"/>
      <w:bookmarkEnd w:id="17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Pojmovi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stupajući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dužničko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povjerilačke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E1D61" w:rsidRPr="00AE1D61" w:rsidRDefault="00AE1D61" w:rsidP="00AE1D61">
      <w:pPr>
        <w:spacing w:after="0" w:line="240" w:lineRule="auto"/>
        <w:ind w:firstLine="9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samo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jednim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više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drugih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lica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koja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njim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povezana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zajednički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djeluju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direktno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indirektno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10%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više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vlasništva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nad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kapitalom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učešća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glasačkim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pravima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tog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pravnog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lica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ili</w:t>
      </w:r>
    </w:p>
    <w:p w:rsidR="00AE1D61" w:rsidRPr="00AE1D61" w:rsidRDefault="00AE1D61" w:rsidP="00AE1D61">
      <w:pPr>
        <w:spacing w:after="0" w:line="240" w:lineRule="auto"/>
        <w:ind w:firstLine="900"/>
        <w:jc w:val="both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2.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mogućnost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vršenja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značajnog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uticaja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na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upravljanje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pravnim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licem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na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poslovnu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politiku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tog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pravnog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lica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.</w:t>
      </w:r>
    </w:p>
    <w:p w:rsidR="00AE1D61" w:rsidRPr="00AE1D61" w:rsidRDefault="00AE1D61" w:rsidP="00AE1D61">
      <w:pPr>
        <w:spacing w:after="0" w:line="240" w:lineRule="auto"/>
        <w:ind w:firstLine="900"/>
        <w:jc w:val="both"/>
        <w:rPr>
          <w:rFonts w:ascii="Times New Roman" w:eastAsia="SimSun" w:hAnsi="Times New Roman" w:cs="Times New Roman"/>
          <w:strike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ab/>
      </w:r>
      <w:r w:rsidRPr="00AE1D61">
        <w:rPr>
          <w:rFonts w:ascii="Times New Roman" w:eastAsia="SimSun" w:hAnsi="Times New Roman" w:cs="Times New Roman"/>
          <w:strike/>
          <w:noProof/>
          <w:sz w:val="24"/>
          <w:szCs w:val="24"/>
          <w:lang w:val="sr-Latn-CS" w:eastAsia="ar-SA"/>
        </w:rPr>
        <w:t xml:space="preserve"> </w:t>
      </w:r>
      <w:bookmarkStart w:id="18" w:name="_Toc28347752"/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Primjena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drugih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</w:t>
      </w:r>
      <w:bookmarkEnd w:id="18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9" w:name="_Toc26427689"/>
      <w:bookmarkStart w:id="20" w:name="_Toc26539147"/>
      <w:bookmarkStart w:id="21" w:name="_Toc26799761"/>
      <w:bookmarkStart w:id="22" w:name="_Toc26880545"/>
      <w:bookmarkStart w:id="23" w:name="_Toc2834775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3.</w:t>
      </w:r>
      <w:bookmarkEnd w:id="19"/>
      <w:bookmarkEnd w:id="20"/>
      <w:bookmarkEnd w:id="21"/>
      <w:bookmarkEnd w:id="22"/>
      <w:bookmarkEnd w:id="23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obligacioni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bookmarkStart w:id="24" w:name="_Toc26427690"/>
      <w:bookmarkStart w:id="25" w:name="_Toc28347754"/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:rsid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II</w:t>
      </w:r>
      <w:bookmarkEnd w:id="24"/>
      <w:bookmarkEnd w:id="25"/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26" w:name="_Toc26539149"/>
      <w:bookmarkStart w:id="27" w:name="_Toc26799763"/>
      <w:bookmarkStart w:id="28" w:name="_Toc26880547"/>
      <w:bookmarkStart w:id="29" w:name="_Toc28347755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FAKTORIN</w:t>
      </w:r>
      <w:bookmarkEnd w:id="26"/>
      <w:bookmarkEnd w:id="27"/>
      <w:bookmarkEnd w:id="28"/>
      <w:bookmarkEnd w:id="29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30" w:name="_Toc2834775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</w:t>
      </w:r>
      <w:bookmarkEnd w:id="30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31" w:name="_Toc26427693"/>
      <w:bookmarkStart w:id="32" w:name="_Toc26539151"/>
      <w:bookmarkStart w:id="33" w:name="_Toc26799765"/>
      <w:bookmarkStart w:id="34" w:name="_Toc26880549"/>
      <w:bookmarkStart w:id="35" w:name="_Toc28347757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4.</w:t>
      </w:r>
      <w:bookmarkEnd w:id="31"/>
      <w:bookmarkEnd w:id="32"/>
      <w:bookmarkEnd w:id="33"/>
      <w:bookmarkEnd w:id="34"/>
      <w:bookmarkEnd w:id="35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6" w:name="_Toc26427694"/>
      <w:bookmarkStart w:id="37" w:name="_Toc26539152"/>
      <w:bookmarkStart w:id="38" w:name="_Toc26799766"/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kupoprodaje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nedospjelog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</w:t>
      </w:r>
      <w:bookmarkEnd w:id="36"/>
      <w:bookmarkEnd w:id="37"/>
      <w:bookmarkEnd w:id="38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nedospjelog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cijelog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djelimičnog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slučajevima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uslužne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a.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9" w:name="_Toc26539154"/>
      <w:bookmarkStart w:id="40" w:name="_Toc26799768"/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banaka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nepridržavanja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primjenjivati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pribavljenu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hartije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bookmarkEnd w:id="39"/>
    <w:bookmarkEnd w:id="40"/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41" w:name="_Toc28347758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Dokumentacija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bookmarkEnd w:id="4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42" w:name="_Toc26427698"/>
      <w:bookmarkStart w:id="43" w:name="_Toc26539158"/>
      <w:bookmarkStart w:id="44" w:name="_Toc26799772"/>
      <w:bookmarkStart w:id="45" w:name="_Toc26880553"/>
      <w:bookmarkStart w:id="46" w:name="_Toc28347759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5.</w:t>
      </w:r>
      <w:bookmarkEnd w:id="42"/>
      <w:bookmarkEnd w:id="43"/>
      <w:bookmarkEnd w:id="44"/>
      <w:bookmarkEnd w:id="45"/>
      <w:bookmarkEnd w:id="46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faktura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narudžbama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otpremnicama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prijemnicama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zapisnicima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izvodima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stavki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urgencijama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izvozna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uvozna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carinska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carini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akreditivu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reosiguranja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korespondenciju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posluži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isporučena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pStyle w:val="ListParagraph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korespondencija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prikladan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Cyrl-BA"/>
        </w:rPr>
      </w:pPr>
      <w:bookmarkStart w:id="47" w:name="_Toc28347760"/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Naknade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</w:t>
      </w:r>
      <w:bookmarkEnd w:id="47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48" w:name="_Toc26427696"/>
      <w:bookmarkStart w:id="49" w:name="_Toc26539156"/>
      <w:bookmarkStart w:id="50" w:name="_Toc26799770"/>
      <w:bookmarkStart w:id="51" w:name="_Toc26880551"/>
      <w:bookmarkStart w:id="52" w:name="_Toc2834776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6.</w:t>
      </w:r>
      <w:bookmarkEnd w:id="48"/>
      <w:bookmarkEnd w:id="49"/>
      <w:bookmarkEnd w:id="50"/>
      <w:bookmarkEnd w:id="51"/>
      <w:bookmarkEnd w:id="52"/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nominalnog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otkupljenog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operativne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vođenje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dogovaranje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AE1D61" w:rsidRPr="00AE1D61" w:rsidRDefault="00AE1D61" w:rsidP="00AE1D6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pStyle w:val="Heading2"/>
        <w:spacing w:before="0" w:line="240" w:lineRule="auto"/>
        <w:jc w:val="left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53" w:name="_Toc28347764"/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Domaći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međunarodni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</w:t>
      </w:r>
      <w:bookmarkEnd w:id="5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54" w:name="_Toc26427702"/>
      <w:bookmarkStart w:id="55" w:name="_Toc26539162"/>
      <w:bookmarkStart w:id="56" w:name="_Toc26799776"/>
      <w:bookmarkStart w:id="57" w:name="_Toc26880557"/>
      <w:bookmarkStart w:id="58" w:name="_Toc28347765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7.</w:t>
      </w:r>
      <w:bookmarkEnd w:id="54"/>
      <w:bookmarkEnd w:id="55"/>
      <w:bookmarkEnd w:id="56"/>
      <w:bookmarkEnd w:id="57"/>
      <w:bookmarkEnd w:id="58"/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rezidenti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devizno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nerezident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devizno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rezidentu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nerezidenta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otkupljuje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iskazan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valuti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devizno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59" w:name="_Toc2834776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pravom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regres</w:t>
      </w:r>
      <w:bookmarkEnd w:id="59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60" w:name="_Toc26427704"/>
      <w:bookmarkStart w:id="61" w:name="_Toc26539164"/>
      <w:bookmarkStart w:id="62" w:name="_Toc26799778"/>
      <w:bookmarkStart w:id="63" w:name="_Toc26880559"/>
      <w:bookmarkStart w:id="64" w:name="_Toc28347767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8</w:t>
      </w:r>
      <w:bookmarkEnd w:id="60"/>
      <w:bookmarkEnd w:id="61"/>
      <w:bookmarkEnd w:id="62"/>
      <w:bookmarkEnd w:id="63"/>
      <w:bookmarkEnd w:id="64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naplativost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ustupljenog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obeštećenje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obešteti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Default="00AE1D61" w:rsidP="00AE1D6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nemogućnosti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obeštećenje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bookmarkStart w:id="65" w:name="_Toc28347768"/>
    </w:p>
    <w:p w:rsidR="00AE1D61" w:rsidRPr="00AE1D61" w:rsidRDefault="00AE1D61" w:rsidP="00AE1D6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:rsid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Cyrl-BA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Obrnuti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</w:t>
      </w:r>
      <w:bookmarkEnd w:id="65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66" w:name="_Toc26427711"/>
      <w:bookmarkStart w:id="67" w:name="_Toc26539166"/>
      <w:bookmarkStart w:id="68" w:name="_Toc26799780"/>
      <w:bookmarkStart w:id="69" w:name="_Toc26880561"/>
      <w:bookmarkStart w:id="70" w:name="_Toc28347769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9.</w:t>
      </w:r>
      <w:bookmarkEnd w:id="66"/>
      <w:bookmarkEnd w:id="67"/>
      <w:bookmarkEnd w:id="68"/>
      <w:bookmarkEnd w:id="69"/>
      <w:bookmarkEnd w:id="70"/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Obrnuti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ugovara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dobavljačima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obrnutom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obrnuti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1"/>
        <w:keepNext w:val="0"/>
        <w:keepLines w:val="0"/>
        <w:widowControl w:val="0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71" w:name="_Toc26427712"/>
      <w:bookmarkStart w:id="72" w:name="_Toc28347770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End w:id="71"/>
      <w:bookmarkEnd w:id="72"/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III</w:t>
      </w:r>
    </w:p>
    <w:p w:rsidR="00AE1D61" w:rsidRPr="00AE1D61" w:rsidRDefault="00AE1D61" w:rsidP="00AE1D61">
      <w:pPr>
        <w:pStyle w:val="Heading1"/>
        <w:keepNext w:val="0"/>
        <w:keepLines w:val="0"/>
        <w:widowControl w:val="0"/>
        <w:spacing w:before="0" w:line="240" w:lineRule="auto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73" w:name="_Toc26539168"/>
      <w:bookmarkStart w:id="74" w:name="_Toc26799782"/>
      <w:bookmarkStart w:id="75" w:name="_Toc26880563"/>
      <w:bookmarkStart w:id="76" w:name="_Toc28347771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FAKTORING</w:t>
      </w:r>
      <w:bookmarkEnd w:id="73"/>
      <w:bookmarkEnd w:id="74"/>
      <w:bookmarkEnd w:id="75"/>
      <w:bookmarkEnd w:id="76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77" w:name="_Toc2834777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bookmarkEnd w:id="77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78" w:name="_Toc26427715"/>
      <w:bookmarkStart w:id="79" w:name="_Toc26539170"/>
      <w:bookmarkStart w:id="80" w:name="_Toc26799784"/>
      <w:bookmarkStart w:id="81" w:name="_Toc26880565"/>
      <w:bookmarkStart w:id="82" w:name="_Toc2834777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10.</w:t>
      </w:r>
      <w:bookmarkEnd w:id="78"/>
      <w:bookmarkEnd w:id="79"/>
      <w:bookmarkEnd w:id="80"/>
      <w:bookmarkEnd w:id="81"/>
      <w:bookmarkEnd w:id="82"/>
    </w:p>
    <w:p w:rsidR="00AE1D61" w:rsidRPr="00AE1D61" w:rsidRDefault="00AE1D61" w:rsidP="00AE1D6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nedospjelo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djelimično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najveći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povjerioca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prenošenju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obezbijedi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primio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fakturi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dejstvo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zajmu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83" w:name="_Toc26427717"/>
      <w:bookmarkStart w:id="84" w:name="_Toc26539172"/>
      <w:bookmarkStart w:id="85" w:name="_Toc26799786"/>
      <w:bookmarkStart w:id="86" w:name="_Toc26880567"/>
      <w:bookmarkStart w:id="87" w:name="_Toc28347774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11.</w:t>
      </w:r>
      <w:bookmarkEnd w:id="83"/>
      <w:bookmarkEnd w:id="84"/>
      <w:bookmarkEnd w:id="85"/>
      <w:bookmarkEnd w:id="86"/>
      <w:bookmarkEnd w:id="87"/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prezime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zastupnika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AE1D61" w:rsidRPr="00AE1D61" w:rsidRDefault="00AE1D61" w:rsidP="00AE1D61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otkupljenog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pStyle w:val="ListParagraph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widowControl w:val="0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pStyle w:val="ListParagraph"/>
        <w:widowControl w:val="0"/>
        <w:tabs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88" w:name="_Toc28347775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Važenje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zabranjeni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ugovor</w:t>
      </w:r>
      <w:bookmarkEnd w:id="88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89" w:name="_Toc26539174"/>
      <w:bookmarkStart w:id="90" w:name="_Toc26799788"/>
      <w:bookmarkStart w:id="91" w:name="_Toc26880569"/>
      <w:bookmarkStart w:id="92" w:name="_Toc2834777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12.</w:t>
      </w:r>
      <w:bookmarkEnd w:id="89"/>
      <w:bookmarkEnd w:id="90"/>
      <w:bookmarkEnd w:id="91"/>
      <w:bookmarkEnd w:id="92"/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istekom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regresirana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ništavni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93" w:name="_Toc28347779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Obavještenje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prenosu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potraživanj</w:t>
      </w:r>
      <w:bookmarkEnd w:id="9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94" w:name="_Toc26427722"/>
      <w:bookmarkStart w:id="95" w:name="_Toc26539178"/>
      <w:bookmarkStart w:id="96" w:name="_Toc26799792"/>
      <w:bookmarkStart w:id="97" w:name="_Toc26880573"/>
      <w:bookmarkStart w:id="98" w:name="_Toc28347780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13.</w:t>
      </w:r>
      <w:bookmarkEnd w:id="94"/>
      <w:bookmarkEnd w:id="95"/>
      <w:bookmarkEnd w:id="96"/>
      <w:bookmarkEnd w:id="97"/>
      <w:bookmarkEnd w:id="98"/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99" w:name="_Toc2834778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Plaćanje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avans</w:t>
      </w:r>
      <w:bookmarkEnd w:id="99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00" w:name="_Toc26427724"/>
      <w:bookmarkStart w:id="101" w:name="_Toc26539180"/>
      <w:bookmarkStart w:id="102" w:name="_Toc26799794"/>
      <w:bookmarkStart w:id="103" w:name="_Toc26880575"/>
      <w:bookmarkStart w:id="104" w:name="_Toc2834778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14</w:t>
      </w:r>
      <w:bookmarkEnd w:id="100"/>
      <w:bookmarkEnd w:id="101"/>
      <w:bookmarkEnd w:id="102"/>
      <w:bookmarkEnd w:id="103"/>
      <w:bookmarkEnd w:id="104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avans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jednostrani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čemu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platio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obaviješten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prenijeti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05" w:name="_Toc2834778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lastRenderedPageBreak/>
        <w:t>Izvršne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isprav</w:t>
      </w:r>
      <w:bookmarkEnd w:id="105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06" w:name="_Toc26427726"/>
      <w:bookmarkStart w:id="107" w:name="_Toc26539182"/>
      <w:bookmarkStart w:id="108" w:name="_Toc26799796"/>
      <w:bookmarkStart w:id="109" w:name="_Toc26880577"/>
      <w:bookmarkStart w:id="110" w:name="_Toc28347784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bookmarkEnd w:id="106"/>
      <w:bookmarkEnd w:id="107"/>
      <w:bookmarkEnd w:id="108"/>
      <w:bookmarkEnd w:id="109"/>
      <w:bookmarkEnd w:id="110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16. 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faktura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otpremnicom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dostavnicom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prijemnicom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isporuci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usluzi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pStyle w:val="Heading2"/>
        <w:spacing w:before="0" w:line="240" w:lineRule="auto"/>
        <w:jc w:val="left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11" w:name="_Toc28347785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Zatezna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kamat</w:t>
      </w:r>
      <w:bookmarkEnd w:id="11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12" w:name="_Toc26427728"/>
      <w:bookmarkStart w:id="113" w:name="_Toc26539184"/>
      <w:bookmarkStart w:id="114" w:name="_Toc26799798"/>
      <w:bookmarkStart w:id="115" w:name="_Toc26880579"/>
      <w:bookmarkStart w:id="116" w:name="_Toc2834778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17.</w:t>
      </w:r>
      <w:bookmarkEnd w:id="112"/>
      <w:bookmarkEnd w:id="113"/>
      <w:bookmarkEnd w:id="114"/>
      <w:bookmarkEnd w:id="115"/>
      <w:bookmarkEnd w:id="116"/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izmirio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dospijeća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zatezna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kamata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17" w:name="_Toc28347787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Odgovornost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ustupioc</w:t>
      </w:r>
      <w:bookmarkStart w:id="118" w:name="_Toc26539186"/>
      <w:bookmarkStart w:id="119" w:name="_Toc26799800"/>
      <w:bookmarkStart w:id="120" w:name="_Toc26880581"/>
      <w:bookmarkStart w:id="121" w:name="_Toc28347788"/>
      <w:bookmarkEnd w:id="117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18.</w:t>
      </w:r>
      <w:bookmarkEnd w:id="118"/>
      <w:bookmarkEnd w:id="119"/>
      <w:bookmarkEnd w:id="120"/>
      <w:bookmarkEnd w:id="121"/>
    </w:p>
    <w:p w:rsidR="00AE1D61" w:rsidRPr="00AE1D61" w:rsidRDefault="00AE1D61" w:rsidP="00AE1D61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vrijednost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nesporno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opterećeno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zalogom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osporeno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trećeg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regresa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Cyrl-BA"/>
        </w:rPr>
      </w:pPr>
      <w:bookmarkStart w:id="122" w:name="_Toc28347789"/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Obaveze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</w:t>
      </w:r>
      <w:bookmarkEnd w:id="12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23" w:name="_Toc26427732"/>
      <w:bookmarkStart w:id="124" w:name="_Toc26539188"/>
      <w:bookmarkStart w:id="125" w:name="_Toc26799802"/>
      <w:bookmarkStart w:id="126" w:name="_Toc26880583"/>
      <w:bookmarkStart w:id="127" w:name="_Toc28347790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19.</w:t>
      </w:r>
      <w:bookmarkEnd w:id="123"/>
      <w:bookmarkEnd w:id="124"/>
      <w:bookmarkEnd w:id="125"/>
      <w:bookmarkEnd w:id="126"/>
      <w:bookmarkEnd w:id="127"/>
    </w:p>
    <w:p w:rsidR="00AE1D61" w:rsidRPr="00AE1D61" w:rsidRDefault="00AE1D61" w:rsidP="00AE1D61">
      <w:pPr>
        <w:widowControl w:val="0"/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ustupilaca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otkupljenih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otkupljenim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28" w:name="_Toc2834779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Prenos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drugi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</w:t>
      </w:r>
      <w:bookmarkEnd w:id="128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29" w:name="_Toc26427734"/>
      <w:bookmarkStart w:id="130" w:name="_Toc26539190"/>
      <w:bookmarkStart w:id="131" w:name="_Toc26799804"/>
      <w:bookmarkStart w:id="132" w:name="_Toc26880585"/>
      <w:bookmarkStart w:id="133" w:name="_Toc2834779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20.</w:t>
      </w:r>
      <w:bookmarkEnd w:id="129"/>
      <w:bookmarkEnd w:id="130"/>
      <w:bookmarkEnd w:id="131"/>
      <w:bookmarkEnd w:id="132"/>
      <w:bookmarkEnd w:id="133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Default="00AE1D61" w:rsidP="00AE1D6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bookmarkStart w:id="134" w:name="_Toc26427735"/>
      <w:bookmarkStart w:id="135" w:name="_Toc28347793"/>
    </w:p>
    <w:p w:rsidR="00AE1D61" w:rsidRDefault="00AE1D61" w:rsidP="00AE1D6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IV</w:t>
      </w:r>
      <w:bookmarkEnd w:id="134"/>
      <w:bookmarkEnd w:id="135"/>
    </w:p>
    <w:p w:rsidR="00AE1D61" w:rsidRPr="00AE1D61" w:rsidRDefault="00AE1D61" w:rsidP="00AE1D61">
      <w:pPr>
        <w:pStyle w:val="Heading1"/>
        <w:spacing w:before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136" w:name="_Toc26539192"/>
      <w:bookmarkStart w:id="137" w:name="_Toc26799806"/>
      <w:bookmarkStart w:id="138" w:name="_Toc26880587"/>
      <w:bookmarkStart w:id="139" w:name="_Toc28347794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USLOVI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OSNIVANJE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PRESTANAK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FAKTORIN</w:t>
      </w:r>
      <w:bookmarkEnd w:id="136"/>
      <w:bookmarkEnd w:id="137"/>
      <w:bookmarkEnd w:id="138"/>
      <w:bookmarkEnd w:id="139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40" w:name="_Toc28347795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</w:t>
      </w:r>
      <w:bookmarkEnd w:id="140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41" w:name="_Toc26427738"/>
      <w:bookmarkStart w:id="142" w:name="_Toc26539194"/>
      <w:bookmarkStart w:id="143" w:name="_Toc26799808"/>
      <w:bookmarkStart w:id="144" w:name="_Toc26880589"/>
      <w:bookmarkStart w:id="145" w:name="_Toc2834779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21.</w:t>
      </w:r>
      <w:bookmarkEnd w:id="141"/>
      <w:bookmarkEnd w:id="142"/>
      <w:bookmarkEnd w:id="143"/>
      <w:bookmarkEnd w:id="144"/>
      <w:bookmarkEnd w:id="145"/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pretežnu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utiču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negativno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mjenica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otkup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obligacioni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46" w:name="_Toc28347797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Osnovni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kapita</w:t>
      </w:r>
      <w:bookmarkEnd w:id="14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l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47" w:name="_Toc26427740"/>
      <w:bookmarkStart w:id="148" w:name="_Toc26539196"/>
      <w:bookmarkStart w:id="149" w:name="_Toc26799810"/>
      <w:bookmarkStart w:id="150" w:name="_Toc26880591"/>
      <w:bookmarkStart w:id="151" w:name="_Toc28347798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22.</w:t>
      </w:r>
      <w:bookmarkEnd w:id="147"/>
      <w:bookmarkEnd w:id="148"/>
      <w:bookmarkEnd w:id="149"/>
      <w:bookmarkEnd w:id="150"/>
      <w:bookmarkEnd w:id="151"/>
    </w:p>
    <w:p w:rsidR="00AE1D61" w:rsidRPr="00AE1D61" w:rsidRDefault="00AE1D61" w:rsidP="00AE1D6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ListParagraph"/>
        <w:widowControl w:val="0"/>
        <w:tabs>
          <w:tab w:val="left" w:pos="720"/>
        </w:tabs>
        <w:suppressAutoHyphens/>
        <w:spacing w:after="0" w:line="240" w:lineRule="auto"/>
        <w:ind w:left="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(1)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Iznos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uplaćenog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osnovnog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kapitala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najmanje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250.000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njegova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uplata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obavezno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cijelosti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novcu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prilikom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osnivanja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.</w:t>
      </w:r>
    </w:p>
    <w:p w:rsidR="00AE1D61" w:rsidRPr="00AE1D61" w:rsidRDefault="00AE1D61" w:rsidP="00AE1D61">
      <w:pPr>
        <w:pStyle w:val="ListParagraph"/>
        <w:widowControl w:val="0"/>
        <w:suppressAutoHyphens/>
        <w:spacing w:after="0" w:line="240" w:lineRule="auto"/>
        <w:ind w:left="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dužno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svom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poslovanju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održava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propisani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iznos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kapitala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koji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može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biti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manji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od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iznosa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utvrđenog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stavu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1.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ovog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člana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(3)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dužno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bez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odgađanja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obavijesti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Komisiju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smanjenju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kapitala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ispod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iznosa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osnovnog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kapitala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iz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1.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ovog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člana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.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/>
        <w:jc w:val="center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Uslovi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izdavanje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dozvole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obavljanje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djelatnosti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faktoringa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/>
        <w:jc w:val="center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Član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23. 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/>
        <w:jc w:val="center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</w:p>
    <w:p w:rsidR="00AE1D61" w:rsidRPr="00AE1D61" w:rsidRDefault="00AE1D61" w:rsidP="00AE1D61">
      <w:pPr>
        <w:pStyle w:val="ListParagraph"/>
        <w:suppressAutoHyphens/>
        <w:spacing w:after="0" w:line="240" w:lineRule="auto"/>
        <w:ind w:left="0"/>
        <w:jc w:val="both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ab/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Komisija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izdaje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dozvolu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obavljanje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djelatnosti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faktoringa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ako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ispunjeni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sljedeći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uslovi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: 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ab/>
        <w:t xml:space="preserve">1)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obezbijeđena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transparentna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vlasnička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struktura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društva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finansijska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sposobnost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osnivača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društva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koja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dokazuje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odgovarajućom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dokumentacijom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ab/>
        <w:t xml:space="preserve">2)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ako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osnivači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društva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odnosno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lica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koja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će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imati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kvalifikovano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učešće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društvu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imaju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dobru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poslovnu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reputaciju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ugled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odgovarajuće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finansijsko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odnosno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imovinsko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stanje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zadovoljavaju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kriterijume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propisane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ovim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zakonom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sticanje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kvalifikovanog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učešća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društvu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ako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takvo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učešće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postoji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ab/>
        <w:t xml:space="preserve">3)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obezbijeđen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minimalni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iznos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osnovnog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kapitala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propisan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ovim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zakonom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čije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porijeklo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jasno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nesumnjivo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ab/>
        <w:t xml:space="preserve">4)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ako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lica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predložena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članove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upravnog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odbora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direktora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imaju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dobru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poslovnu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reputaciju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ugled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odgovarajuće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kvalifikacije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ispunjavaju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druge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uslove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propisane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ovim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zakonom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propisima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Komisije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, 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lastRenderedPageBreak/>
        <w:tab/>
        <w:t xml:space="preserve">5)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da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>izrađen</w:t>
      </w: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opreznim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pretpostavkama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procjenama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kadrovska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osposobljenost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izloženo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pStyle w:val="ListParagraph"/>
        <w:tabs>
          <w:tab w:val="left" w:pos="0"/>
        </w:tabs>
        <w:suppressAutoHyphens/>
        <w:spacing w:after="0" w:line="240" w:lineRule="auto"/>
        <w:ind w:left="0"/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SimSun" w:hAnsi="Times New Roman" w:cs="Times New Roman"/>
          <w:noProof/>
          <w:sz w:val="24"/>
          <w:szCs w:val="24"/>
          <w:lang w:val="sr-Latn-CS" w:eastAsia="ar-SA"/>
        </w:rPr>
        <w:t xml:space="preserve"> </w:t>
      </w: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52" w:name="_Toc28347799"/>
      <w:r>
        <w:rPr>
          <w:rFonts w:ascii="Times New Roman" w:eastAsia="SimSun" w:hAnsi="Times New Roman" w:cs="Times New Roman"/>
          <w:noProof/>
          <w:color w:val="auto"/>
          <w:sz w:val="24"/>
          <w:szCs w:val="24"/>
          <w:lang w:val="sr-Latn-CS" w:eastAsia="ar-SA"/>
        </w:rPr>
        <w:t>Dozvola</w:t>
      </w:r>
      <w:r w:rsidRPr="00AE1D61">
        <w:rPr>
          <w:rFonts w:ascii="Times New Roman" w:eastAsia="SimSun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bookmarkEnd w:id="15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53" w:name="_Toc26427742"/>
      <w:bookmarkStart w:id="154" w:name="_Toc26539198"/>
      <w:bookmarkStart w:id="155" w:name="_Toc26799812"/>
      <w:bookmarkStart w:id="156" w:name="_Toc26880593"/>
      <w:bookmarkStart w:id="157" w:name="_Toc28347800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24.</w:t>
      </w:r>
      <w:bookmarkEnd w:id="153"/>
      <w:bookmarkEnd w:id="154"/>
      <w:bookmarkEnd w:id="155"/>
      <w:bookmarkEnd w:id="156"/>
      <w:bookmarkEnd w:id="157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osnivački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identifikacione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reputaciji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imovinskom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revidirane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ovjerenu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udjela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sticalaca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nesumnjiv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porijeklu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organizacionu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šemu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propiše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informiše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58" w:name="_Toc2834780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Izdavanje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bookmarkEnd w:id="158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59" w:name="_Toc26427744"/>
      <w:bookmarkStart w:id="160" w:name="_Toc26539200"/>
      <w:bookmarkStart w:id="161" w:name="_Toc26799814"/>
      <w:bookmarkStart w:id="162" w:name="_Toc26880595"/>
      <w:bookmarkStart w:id="163" w:name="_Toc2834780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25.</w:t>
      </w:r>
      <w:bookmarkEnd w:id="159"/>
      <w:bookmarkEnd w:id="160"/>
      <w:bookmarkEnd w:id="161"/>
      <w:bookmarkEnd w:id="162"/>
      <w:bookmarkEnd w:id="163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64" w:name="_Toc2834780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Prestanak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važenja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bookmarkEnd w:id="164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65" w:name="_Toc26427746"/>
      <w:bookmarkStart w:id="166" w:name="_Toc26539202"/>
      <w:bookmarkStart w:id="167" w:name="_Toc26799816"/>
      <w:bookmarkStart w:id="168" w:name="_Toc26880597"/>
      <w:bookmarkStart w:id="169" w:name="_Toc28347804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26.</w:t>
      </w:r>
      <w:bookmarkEnd w:id="165"/>
      <w:bookmarkEnd w:id="166"/>
      <w:bookmarkEnd w:id="167"/>
      <w:bookmarkEnd w:id="168"/>
      <w:bookmarkEnd w:id="169"/>
    </w:p>
    <w:p w:rsidR="00AE1D61" w:rsidRPr="00AE1D61" w:rsidRDefault="00AE1D61" w:rsidP="00AE1D61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podnijelo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kontinuitetu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likvidacionog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bookmarkStart w:id="170" w:name="_Toc28347805"/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Osnivanje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Srpskoj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privrednog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društva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sjedištem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Bosni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Hercegovini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izvan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Srpske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Član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27.</w:t>
      </w:r>
    </w:p>
    <w:p w:rsidR="00AE1D61" w:rsidRPr="00AE1D61" w:rsidRDefault="00AE1D61" w:rsidP="00AE1D61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(1) 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Privredno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društvo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sjedištem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Bosni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Hercegovini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izvan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dozvolu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organa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nadležnog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nadzor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djelatnosti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faktoringa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može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Srpskoj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isključivo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putem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Privredno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društvo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namjerava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obavlja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djelatnost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faktoringa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putem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Srpskoj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dužno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podnese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zahtjev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Komisiji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dostavlja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: </w:t>
      </w:r>
    </w:p>
    <w:p w:rsidR="00AE1D61" w:rsidRPr="00AE1D61" w:rsidRDefault="00AE1D61" w:rsidP="00AE1D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dokaz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registraciji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privrednog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društva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nadležnog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organa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,</w:t>
      </w:r>
    </w:p>
    <w:p w:rsidR="00AE1D61" w:rsidRPr="00AE1D61" w:rsidRDefault="00AE1D61" w:rsidP="00AE1D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dozvolu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odobrenje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drugi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akt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organa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nadležnog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nadzor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djelatnosti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faktoringa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potvrđuje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ispunjenost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uslova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preuzimanje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obaveza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nastanu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poslovanju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Srpskoj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,</w:t>
      </w:r>
    </w:p>
    <w:p w:rsidR="00AE1D61" w:rsidRPr="00AE1D61" w:rsidRDefault="00AE1D61" w:rsidP="00AE1D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3) 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odluku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nadležnog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organa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privrednog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društva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osnivanju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Srpskoj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sadrži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naziv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adresu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djelatnost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lično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ime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zastupnika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obimom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ovlašćenja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,</w:t>
      </w:r>
    </w:p>
    <w:p w:rsidR="00AE1D61" w:rsidRPr="00AE1D61" w:rsidRDefault="00AE1D61" w:rsidP="00AE1D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plan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prve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tri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godine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,</w:t>
      </w:r>
    </w:p>
    <w:p w:rsidR="00AE1D61" w:rsidRPr="00AE1D61" w:rsidRDefault="00AE1D61" w:rsidP="00AE1D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drugu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dokumentaciju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skladu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propisom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može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početi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obavljanjem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djelatnosti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faktoringa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Srpskoj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dobijanju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upisu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 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registar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osniva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skladu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ovim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zakonom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propisima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kojima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uređuje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privrednih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društava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Sve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društvo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osnovalo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Srpskoj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smatraju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jednom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smislu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izvještavanja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praćenja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drugih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nadležnih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organa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donosi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akt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propisuje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dokumentaciju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dostavlja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zahtjev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kao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vrstu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podataka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rokove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način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izvještavaju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Komisiju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.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strike/>
          <w:noProof/>
          <w:sz w:val="24"/>
          <w:szCs w:val="24"/>
          <w:lang w:val="sr-Latn-CS" w:eastAsia="en-GB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lastRenderedPageBreak/>
        <w:t>Osnivanje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izvan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Član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28.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Društvo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namjerava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obavlja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djelatnost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faktoringa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putem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izvan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dužno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pribavi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ab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donosi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akt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propisuje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uslove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dokumentaciju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kojom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dokazuje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ispunjenost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uslova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dobijanje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obavljanje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djelatnosti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faktoringa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putem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poslovne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jedinice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izvan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Republike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Srpske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 w:eastAsia="en-GB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Registar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društava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</w:t>
      </w:r>
      <w:bookmarkEnd w:id="170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poslovnih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jedinica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171" w:name="_Toc26427748"/>
      <w:bookmarkStart w:id="172" w:name="_Toc26539204"/>
      <w:bookmarkStart w:id="173" w:name="_Toc26799818"/>
      <w:bookmarkStart w:id="174" w:name="_Toc26880599"/>
      <w:bookmarkStart w:id="175" w:name="_Toc2834780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29.</w:t>
      </w:r>
      <w:bookmarkEnd w:id="171"/>
      <w:bookmarkEnd w:id="172"/>
      <w:bookmarkEnd w:id="173"/>
      <w:bookmarkEnd w:id="174"/>
      <w:bookmarkEnd w:id="175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trike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</w:r>
      <w:r w:rsidRPr="00AE1D61">
        <w:rPr>
          <w:rFonts w:ascii="Times New Roman" w:eastAsia="Arial" w:hAnsi="Times New Roman" w:cs="Times New Roman"/>
          <w:strike/>
          <w:noProof/>
          <w:sz w:val="24"/>
          <w:szCs w:val="24"/>
          <w:lang w:val="sr-Latn-CS" w:eastAsia="ar-SA"/>
        </w:rPr>
        <w:t xml:space="preserve"> </w:t>
      </w:r>
    </w:p>
    <w:p w:rsidR="00AE1D61" w:rsidRPr="00AE1D61" w:rsidRDefault="00AE1D61" w:rsidP="00AE1D61">
      <w:pPr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strike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(1)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Komisija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vodi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Registar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poslovnih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jedinica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(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daljem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tekstu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: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Registar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),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koji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predstavlja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evidenciju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sjedištem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Republici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Srpskoj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poslovnih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jedinica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iz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člana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27.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ovog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zakona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:rsidR="00AE1D61" w:rsidRPr="00AE1D61" w:rsidRDefault="00AE1D61" w:rsidP="00AE1D61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Registar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sadrži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podatke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poslovnom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imenu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sjedištu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licima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ovlašćenim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zastupanje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njihovim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funkcijama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otvaranju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likvidacionog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stečajnog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postupka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kao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podatke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adresama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poslovnih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jedinica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licima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ovlašćenim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njihovo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zastupanje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.</w:t>
      </w:r>
    </w:p>
    <w:p w:rsidR="00AE1D61" w:rsidRPr="00AE1D61" w:rsidRDefault="00AE1D61" w:rsidP="00AE1D61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(3)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Podaci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kojima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oduzeta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dozvola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obavljanje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djelatnosti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vode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arhivi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Registra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.</w:t>
      </w:r>
    </w:p>
    <w:p w:rsidR="00AE1D61" w:rsidRPr="00AE1D61" w:rsidRDefault="00AE1D61" w:rsidP="00AE1D61">
      <w:pPr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(4)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Podaci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poslovnom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imenu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sjedištu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licima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ovlašćenim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zastupanje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podatke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adresama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poslovnih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jedinica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licima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ovlašćenim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njihovo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zastupanje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upisuju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Registar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osnovu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rješenja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upisu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sudski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registar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:rsidR="00AE1D61" w:rsidRPr="00AE1D61" w:rsidRDefault="00AE1D61" w:rsidP="00AE1D61">
      <w:pPr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(5)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Podaci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otvaranju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postupka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likvidacije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odnosno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stečaja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sjedištem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Republici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Srpskoj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upisuju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Registar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osnovu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rješenja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otvaranju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likvidacionog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odnosno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stečajnog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postupka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.</w:t>
      </w:r>
    </w:p>
    <w:p w:rsidR="00AE1D61" w:rsidRPr="00AE1D61" w:rsidRDefault="00AE1D61" w:rsidP="00AE1D61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(6)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Podaci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iz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Registra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objavljuju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internet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stranici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Komisije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.</w:t>
      </w:r>
      <w:bookmarkStart w:id="176" w:name="_Toc28347807"/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</w:pP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</w:pP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Sticanje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kvalifikovanog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učešć</w:t>
      </w:r>
      <w:bookmarkEnd w:id="176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</w:pPr>
      <w:bookmarkStart w:id="177" w:name="_Toc26427750"/>
      <w:bookmarkStart w:id="178" w:name="_Toc26539206"/>
      <w:bookmarkStart w:id="179" w:name="_Toc26799820"/>
      <w:bookmarkStart w:id="180" w:name="_Toc26880601"/>
      <w:bookmarkStart w:id="181" w:name="_Toc28347808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Član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30.</w:t>
      </w:r>
      <w:bookmarkEnd w:id="177"/>
      <w:bookmarkEnd w:id="178"/>
      <w:bookmarkEnd w:id="179"/>
      <w:bookmarkEnd w:id="180"/>
      <w:bookmarkEnd w:id="181"/>
    </w:p>
    <w:p w:rsidR="00AE1D61" w:rsidRPr="00AE1D61" w:rsidRDefault="00AE1D61" w:rsidP="00AE1D61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fizičko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namjerava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steći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indirektno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stiče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pismeni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odlučivanja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cijeni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podobnost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podnosioca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upravljačke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sposobnosti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uticaj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sljedećih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poslovne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reputacije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ugleda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podnosioca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zahtjeva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finansijskog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podnosioca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zahtjeva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njegovog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uticaja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poslovanje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ukoliko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saglasnost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izda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mogućnosti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ispunjava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uslove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propisane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ovim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zakonom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podzakonskim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propisima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4)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postojanja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opravdanih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razloga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sumnju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vezi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sticanjem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kvalifikovanog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učešća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sprovodi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namjerava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sprovesti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pranje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novca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finansiranje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terorističkih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aktivnosti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sticanje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može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uticati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povećanje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rizika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od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pranja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novca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ili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finansiranja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terorističkih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aktivnosti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skladu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propisima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sprečavanju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pranja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novca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finansiranja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terorističkih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aktivnosti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indirektno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kapitalu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glasačkim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stiče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prelazi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20%, 33%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kapitalu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glasačkim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mjeseci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davanju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dovršilo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nivoa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namjerava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namjerava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prodajom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kapitalu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glasačkim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nivoa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svojoj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namjeri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odmah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(7)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procjene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ispunjenosti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bookmarkStart w:id="182" w:name="_Toc28347813"/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</w:pP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Dodatni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podaci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dokumentacija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izdavanje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saglasnost</w:t>
      </w:r>
      <w:bookmarkEnd w:id="182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</w:pPr>
      <w:bookmarkStart w:id="183" w:name="_Toc26539212"/>
      <w:bookmarkStart w:id="184" w:name="_Toc26880607"/>
      <w:bookmarkStart w:id="185" w:name="_Toc28347814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sticanje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kvalifikovanog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učešć</w:t>
      </w:r>
      <w:bookmarkEnd w:id="183"/>
      <w:bookmarkEnd w:id="184"/>
      <w:bookmarkEnd w:id="185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</w:pPr>
      <w:bookmarkStart w:id="186" w:name="_Toc26427757"/>
      <w:bookmarkStart w:id="187" w:name="_Toc26539213"/>
      <w:bookmarkStart w:id="188" w:name="_Toc26799827"/>
      <w:bookmarkStart w:id="189" w:name="_Toc26880608"/>
      <w:bookmarkStart w:id="190" w:name="_Toc28347815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Član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31.</w:t>
      </w:r>
      <w:bookmarkEnd w:id="186"/>
      <w:bookmarkEnd w:id="187"/>
      <w:bookmarkEnd w:id="188"/>
      <w:bookmarkEnd w:id="189"/>
      <w:bookmarkEnd w:id="190"/>
    </w:p>
    <w:p w:rsidR="00AE1D61" w:rsidRPr="00AE1D61" w:rsidRDefault="00AE1D61" w:rsidP="00AE1D61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</w:p>
    <w:p w:rsidR="00AE1D61" w:rsidRPr="00AE1D61" w:rsidRDefault="00AE1D61" w:rsidP="00AE1D61">
      <w:pPr>
        <w:widowControl w:val="0"/>
        <w:spacing w:after="0" w:line="240" w:lineRule="auto"/>
        <w:ind w:right="5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(1)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Osim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 w:eastAsia="ar-SA"/>
        </w:rPr>
        <w:t>propisane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d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u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m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e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c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izdavanje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saglasnosti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sticanje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kvalifikovanog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učešća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,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Komisija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m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ž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pacing w:val="1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u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ob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ah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tra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ž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iti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ru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d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,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dno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um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ci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 w:eastAsia="ar-SA"/>
        </w:rPr>
        <w:t>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ci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j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en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tr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b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m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luči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las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,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klj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č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jući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m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ci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isa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m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đu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reč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ca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>f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ror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ističkih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aktivnosti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,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u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lj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ob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e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ici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to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g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:rsidR="00AE1D61" w:rsidRPr="00AE1D61" w:rsidRDefault="00AE1D61" w:rsidP="00AE1D61">
      <w:pPr>
        <w:suppressAutoHyphens/>
        <w:spacing w:after="0" w:line="240" w:lineRule="auto"/>
        <w:ind w:right="55" w:firstLine="56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Komisija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će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rilikom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luči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las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pacing w:val="9"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ic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>f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učešća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isp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ti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ed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podnosilac</w:t>
      </w:r>
      <w:r w:rsidRPr="00AE1D61"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zahtjeva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jera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ći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>f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učešće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št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.</w:t>
      </w:r>
    </w:p>
    <w:p w:rsidR="00AE1D61" w:rsidRPr="00AE1D61" w:rsidRDefault="00AE1D61" w:rsidP="00AE1D61">
      <w:pPr>
        <w:suppressAutoHyphens/>
        <w:spacing w:after="0" w:line="240" w:lineRule="auto"/>
        <w:ind w:right="55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ab/>
        <w:t xml:space="preserve">(3)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Komisija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mo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ž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,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ib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lj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m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ci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tre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b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ih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od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luči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pacing w:val="25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las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sti</w:t>
      </w:r>
      <w:r w:rsidRPr="00AE1D61">
        <w:rPr>
          <w:rFonts w:ascii="Times New Roman" w:eastAsia="Arial" w:hAnsi="Times New Roman" w:cs="Times New Roman"/>
          <w:noProof/>
          <w:spacing w:val="24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25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ic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e</w:t>
      </w:r>
      <w:r w:rsidRPr="00AE1D61">
        <w:rPr>
          <w:rFonts w:ascii="Times New Roman" w:eastAsia="Arial" w:hAnsi="Times New Roman" w:cs="Times New Roman"/>
          <w:noProof/>
          <w:spacing w:val="25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 w:eastAsia="ar-SA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g</w:t>
      </w:r>
      <w:r w:rsidRPr="00AE1D61">
        <w:rPr>
          <w:rFonts w:ascii="Times New Roman" w:eastAsia="Arial" w:hAnsi="Times New Roman" w:cs="Times New Roman"/>
          <w:noProof/>
          <w:spacing w:val="23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učešća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,</w:t>
      </w:r>
      <w:r w:rsidRPr="00AE1D61">
        <w:rPr>
          <w:rFonts w:ascii="Times New Roman" w:eastAsia="Arial" w:hAnsi="Times New Roman" w:cs="Times New Roman"/>
          <w:noProof/>
          <w:spacing w:val="25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oba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iti</w:t>
      </w:r>
      <w:r w:rsidRPr="00AE1D61">
        <w:rPr>
          <w:rFonts w:ascii="Times New Roman" w:eastAsia="Arial" w:hAnsi="Times New Roman" w:cs="Times New Roman"/>
          <w:noProof/>
          <w:spacing w:val="24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 w:eastAsia="ar-SA"/>
        </w:rPr>
        <w:t>j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ru</w:t>
      </w:r>
      <w:r w:rsidRPr="00AE1D61">
        <w:rPr>
          <w:rFonts w:ascii="Times New Roman" w:eastAsia="Arial" w:hAnsi="Times New Roman" w:cs="Times New Roman"/>
          <w:noProof/>
          <w:spacing w:val="24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 w:eastAsia="ar-SA"/>
        </w:rPr>
        <w:t>d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a</w:t>
      </w:r>
      <w:r w:rsidRPr="00AE1D61">
        <w:rPr>
          <w:rFonts w:ascii="Times New Roman" w:eastAsia="Arial" w:hAnsi="Times New Roman" w:cs="Times New Roman"/>
          <w:noProof/>
          <w:spacing w:val="25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s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 w:eastAsia="ar-SA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io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podnosilac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zahtjeva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sticanje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kvalifikovanog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učešća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društvu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 w:eastAsia="ar-SA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  <w:t>.</w:t>
      </w:r>
    </w:p>
    <w:p w:rsidR="00AE1D61" w:rsidRPr="00AE1D61" w:rsidRDefault="00AE1D61" w:rsidP="00AE1D61">
      <w:pPr>
        <w:pStyle w:val="Heading2"/>
        <w:spacing w:before="0" w:line="240" w:lineRule="auto"/>
        <w:jc w:val="left"/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</w:pPr>
      <w:bookmarkStart w:id="191" w:name="_Toc28347816"/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kvalifikovanog</w:t>
      </w:r>
      <w:r w:rsidRPr="00AE1D61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bez</w:t>
      </w:r>
      <w:r w:rsidRPr="00AE1D61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saglasnost</w:t>
      </w:r>
      <w:bookmarkEnd w:id="191"/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i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</w:pPr>
      <w:bookmarkStart w:id="192" w:name="_Toc26427759"/>
      <w:bookmarkStart w:id="193" w:name="_Toc26539215"/>
      <w:bookmarkStart w:id="194" w:name="_Toc26799829"/>
      <w:bookmarkStart w:id="195" w:name="_Toc26880610"/>
      <w:bookmarkStart w:id="196" w:name="_Toc28347817"/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 xml:space="preserve"> 32.</w:t>
      </w:r>
      <w:bookmarkEnd w:id="192"/>
      <w:bookmarkEnd w:id="193"/>
      <w:bookmarkEnd w:id="194"/>
      <w:bookmarkEnd w:id="195"/>
      <w:bookmarkEnd w:id="196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steći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nasljeđivanjem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sljedbeništvom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nezavisnim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volje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sticaoca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dozvoljeno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uticaj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politiku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ostvarivanje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glasačkih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iznad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nivoa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glasačkih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isplatu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dividende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raspodjelu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stečenog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pribavljanja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smanjilo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</w:pPr>
      <w:bookmarkStart w:id="197" w:name="_Toc28347818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lastRenderedPageBreak/>
        <w:t>Pravne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posljedice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sticanja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kvalifikovanog</w:t>
      </w:r>
      <w:r w:rsidRPr="00AE1D61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bez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saglasnost</w:t>
      </w:r>
      <w:bookmarkEnd w:id="197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i</w:t>
      </w: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</w:pPr>
      <w:bookmarkStart w:id="198" w:name="_Toc26427761"/>
      <w:bookmarkStart w:id="199" w:name="_Toc26539217"/>
      <w:bookmarkStart w:id="200" w:name="_Toc26799831"/>
      <w:bookmarkStart w:id="201" w:name="_Toc26880612"/>
      <w:bookmarkStart w:id="202" w:name="_Toc28347819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>Član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33.</w:t>
      </w:r>
      <w:bookmarkEnd w:id="198"/>
      <w:bookmarkEnd w:id="199"/>
      <w:bookmarkEnd w:id="200"/>
      <w:bookmarkEnd w:id="201"/>
      <w:bookmarkEnd w:id="202"/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 w:eastAsia="ar-SA"/>
        </w:rPr>
        <w:t xml:space="preserve"> </w:t>
      </w:r>
    </w:p>
    <w:p w:rsidR="00AE1D61" w:rsidRPr="00AE1D61" w:rsidRDefault="00AE1D61" w:rsidP="00AE1D61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Latn-CS" w:eastAsia="ar-SA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podnese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odbijen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nalaže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stečeno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prodaji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poznato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kupcu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prodaju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kraći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mjeseca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devet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mjeseci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nalaže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prodaja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steklo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udjele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jedinstvene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hartija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vrijednosti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obezbijedi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sticalac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udjela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prodaju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promjenama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akcionara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prodaju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akcija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udjela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sticanje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učešća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34.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oduzima</w:t>
      </w:r>
      <w:r w:rsidRPr="00AE1D61"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las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ic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učešća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društvu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1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sticaocu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učešća</w:t>
      </w:r>
      <w:r w:rsidRPr="00AE1D61">
        <w:rPr>
          <w:rFonts w:ascii="Times New Roman" w:eastAsia="Arial" w:hAnsi="Times New Roman" w:cs="Times New Roman"/>
          <w:noProof/>
          <w:spacing w:val="2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data</w:t>
      </w:r>
      <w:r w:rsidRPr="00AE1D61">
        <w:rPr>
          <w:rFonts w:ascii="Times New Roman" w:eastAsia="Arial" w:hAnsi="Times New Roman" w:cs="Times New Roman"/>
          <w:noProof/>
          <w:spacing w:val="2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las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eastAsia="Arial" w:hAnsi="Times New Roman" w:cs="Times New Roman"/>
          <w:noProof/>
          <w:spacing w:val="2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osnovu</w:t>
      </w:r>
      <w:r w:rsidRPr="00AE1D61">
        <w:rPr>
          <w:rFonts w:ascii="Times New Roman" w:eastAsia="Arial" w:hAnsi="Times New Roman" w:cs="Times New Roman"/>
          <w:noProof/>
          <w:spacing w:val="2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istiniti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č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ih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ab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lu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ocijeni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sticalac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više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ispunjava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kriterijume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propisane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članom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luč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ju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va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1.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č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ce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jem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las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stic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učešća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lasa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akcija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jela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las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ć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7"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ju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en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akcija</w:t>
      </w:r>
      <w:r w:rsidRPr="00AE1D61">
        <w:rPr>
          <w:rFonts w:ascii="Times New Roman" w:eastAsia="Arial" w:hAnsi="Times New Roman" w:cs="Times New Roman"/>
          <w:noProof/>
          <w:spacing w:val="5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jela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5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licu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steklo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50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učešće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pacing w:val="5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5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las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ic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učešća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>(4)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roš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akcija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jela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3.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čla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snosi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lice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kojem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oduzet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a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saglasnost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sticanje</w:t>
      </w:r>
      <w:r w:rsidRPr="00AE1D61"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učešća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.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203" w:name="_Toc28347822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Izvještavanje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Komisij</w:t>
      </w:r>
      <w:bookmarkEnd w:id="203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e</w:t>
      </w: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204" w:name="_Toc26539221"/>
      <w:bookmarkStart w:id="205" w:name="_Toc26799835"/>
      <w:bookmarkStart w:id="206" w:name="_Toc26880616"/>
      <w:bookmarkStart w:id="207" w:name="_Toc28347823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35.</w:t>
      </w:r>
      <w:bookmarkEnd w:id="204"/>
      <w:bookmarkEnd w:id="205"/>
      <w:bookmarkEnd w:id="206"/>
      <w:bookmarkEnd w:id="207"/>
    </w:p>
    <w:p w:rsidR="00AE1D61" w:rsidRPr="00AE1D61" w:rsidRDefault="00AE1D61" w:rsidP="00AE1D61">
      <w:pPr>
        <w:widowControl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izvještava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sazivanju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skupštine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svim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odlukama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prihvaćenim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skupštini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imaocima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akcija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udjela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sticanju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povećanju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smanjenju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planiranom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otvaranju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preseljenju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zatvaranju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privremenom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prestanku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poslovne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jedinice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organizacionim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promjenama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ulaganjima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direktno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indirektno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steklo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drugom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pravnom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licu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svakom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daljem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ulaganju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pravno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promjenama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strukturi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kapitala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prestanku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obavljanja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pojedinih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poslova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lastRenderedPageBreak/>
        <w:tab/>
        <w:t xml:space="preserve">6)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činjenicama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okolnostima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odnose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zahtjev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dostavi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izvještaj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informacije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svim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poslovima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bitnim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vršenje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nadzora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donosi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akt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propisuje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strukturu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sadržaj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rokove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dostavljanja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izvještaja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Cyrl-BA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strike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Obaveza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dostavljanja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podataka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organima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08" w:name="_Toc26539219"/>
      <w:bookmarkStart w:id="209" w:name="_Toc26799833"/>
      <w:bookmarkStart w:id="210" w:name="_Toc26880614"/>
      <w:bookmarkStart w:id="211" w:name="_Toc2834782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36.</w:t>
      </w:r>
      <w:bookmarkEnd w:id="208"/>
      <w:bookmarkEnd w:id="209"/>
      <w:bookmarkEnd w:id="210"/>
      <w:bookmarkEnd w:id="211"/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pravosudnom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212" w:name="_Toc26427762"/>
      <w:bookmarkStart w:id="213" w:name="_Toc28347824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</w:t>
      </w:r>
      <w:bookmarkEnd w:id="212"/>
      <w:bookmarkEnd w:id="213"/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214" w:name="_Toc26539224"/>
      <w:bookmarkStart w:id="215" w:name="_Toc26799838"/>
      <w:bookmarkStart w:id="216" w:name="_Toc26880618"/>
      <w:bookmarkStart w:id="217" w:name="_Toc28347825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UPRAVLJANJE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DRUŠTVOM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FAKTORIN</w:t>
      </w:r>
      <w:bookmarkEnd w:id="214"/>
      <w:bookmarkEnd w:id="215"/>
      <w:bookmarkEnd w:id="216"/>
      <w:bookmarkEnd w:id="217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18" w:name="_Toc2834782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</w:t>
      </w:r>
      <w:bookmarkEnd w:id="218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g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19" w:name="_Toc26427765"/>
      <w:bookmarkStart w:id="220" w:name="_Toc26539226"/>
      <w:bookmarkStart w:id="221" w:name="_Toc26799840"/>
      <w:bookmarkStart w:id="222" w:name="_Toc26880620"/>
      <w:bookmarkStart w:id="223" w:name="_Toc28347827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37.</w:t>
      </w:r>
      <w:bookmarkEnd w:id="219"/>
      <w:bookmarkEnd w:id="220"/>
      <w:bookmarkEnd w:id="221"/>
      <w:bookmarkEnd w:id="222"/>
      <w:bookmarkEnd w:id="223"/>
    </w:p>
    <w:p w:rsidR="00AE1D61" w:rsidRPr="00AE1D61" w:rsidRDefault="00AE1D61" w:rsidP="00AE1D61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skupštinu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bookmarkStart w:id="224" w:name="_Toc28347828"/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bookmarkEnd w:id="22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25" w:name="_Toc26427767"/>
      <w:bookmarkStart w:id="226" w:name="_Toc26539228"/>
      <w:bookmarkStart w:id="227" w:name="_Toc26799842"/>
      <w:bookmarkStart w:id="228" w:name="_Toc26880622"/>
      <w:bookmarkStart w:id="229" w:name="_Toc28347829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38.</w:t>
      </w:r>
      <w:bookmarkEnd w:id="225"/>
      <w:bookmarkEnd w:id="226"/>
      <w:bookmarkEnd w:id="227"/>
      <w:bookmarkEnd w:id="228"/>
      <w:bookmarkEnd w:id="229"/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polovine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povezano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glasačkih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bookmarkStart w:id="230" w:name="_Toc28347830"/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bookmarkEnd w:id="230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31" w:name="_Toc26427769"/>
      <w:bookmarkStart w:id="232" w:name="_Toc26539230"/>
      <w:bookmarkStart w:id="233" w:name="_Toc26799844"/>
      <w:bookmarkStart w:id="234" w:name="_Toc26880624"/>
      <w:bookmarkStart w:id="235" w:name="_Toc2834783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</w:t>
      </w:r>
      <w:bookmarkEnd w:id="23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39.</w:t>
      </w:r>
      <w:bookmarkEnd w:id="232"/>
      <w:bookmarkEnd w:id="233"/>
      <w:bookmarkEnd w:id="234"/>
      <w:bookmarkEnd w:id="235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dostojnim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nastanak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prokurista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reputaciju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ugled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osuđeno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bezuslovnu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pravosnažno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osuđeno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kriminala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vrijeme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rukovodećim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dostojnim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opravdano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kaznene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razrađuje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prilaže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36" w:name="_Toc2834783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Nadležnosti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dužnosti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odbor</w:t>
      </w:r>
      <w:bookmarkEnd w:id="23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37" w:name="_Toc26427771"/>
      <w:bookmarkStart w:id="238" w:name="_Toc26539232"/>
      <w:bookmarkStart w:id="239" w:name="_Toc26799846"/>
      <w:bookmarkStart w:id="240" w:name="_Toc26880626"/>
      <w:bookmarkStart w:id="241" w:name="_Toc2834783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</w:t>
      </w:r>
      <w:bookmarkEnd w:id="237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40.</w:t>
      </w:r>
      <w:bookmarkEnd w:id="238"/>
      <w:bookmarkEnd w:id="239"/>
      <w:bookmarkEnd w:id="240"/>
      <w:bookmarkEnd w:id="241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bez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odgađanja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obavještava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: </w:t>
      </w:r>
    </w:p>
    <w:p w:rsidR="00AE1D61" w:rsidRPr="00AE1D61" w:rsidRDefault="00AE1D61" w:rsidP="00AE1D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1)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ugroženoj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likvidnosti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adekvatnosti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2)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nastupanju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razloga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prestanak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važenja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oduzimanje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dozvole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djelatnosti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</w:p>
    <w:p w:rsidR="00AE1D61" w:rsidRPr="00AE1D61" w:rsidRDefault="00AE1D61" w:rsidP="00AE1D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3)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nadogradnji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informacionog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sistema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4)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poslovnim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rezultatima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događajima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mogu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značajno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uticati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nečinjenja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propuštanja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dokažu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profesionalno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stručnjak</w:t>
      </w:r>
      <w:bookmarkStart w:id="242" w:name="_Toc28347834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Direkto</w:t>
      </w:r>
      <w:bookmarkEnd w:id="24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43" w:name="_Toc26427773"/>
      <w:bookmarkStart w:id="244" w:name="_Toc26539234"/>
      <w:bookmarkStart w:id="245" w:name="_Toc26799848"/>
      <w:bookmarkStart w:id="246" w:name="_Toc26880628"/>
      <w:bookmarkStart w:id="247" w:name="_Toc28347835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</w:t>
      </w:r>
      <w:bookmarkEnd w:id="24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41.</w:t>
      </w:r>
      <w:bookmarkEnd w:id="244"/>
      <w:bookmarkEnd w:id="245"/>
      <w:bookmarkEnd w:id="246"/>
      <w:bookmarkEnd w:id="247"/>
    </w:p>
    <w:p w:rsidR="00AE1D61" w:rsidRPr="00AE1D61" w:rsidRDefault="00AE1D61" w:rsidP="00AE1D61">
      <w:pPr>
        <w:spacing w:after="0" w:line="240" w:lineRule="auto"/>
        <w:ind w:firstLine="56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prebivalište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jezika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upotrebi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primjereno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</w:pPr>
      <w:bookmarkStart w:id="248" w:name="_Toc28347836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Izdavanje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saglasnosti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direktor</w:t>
      </w:r>
      <w:bookmarkEnd w:id="248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upravnog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odbora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Times New Roman" w:hAnsi="Times New Roman" w:cs="Times New Roman"/>
          <w:iCs/>
          <w:noProof/>
          <w:color w:val="auto"/>
          <w:sz w:val="24"/>
          <w:szCs w:val="24"/>
          <w:lang w:val="sr-Latn-CS" w:eastAsia="sr-Cyrl-RS"/>
        </w:rPr>
      </w:pPr>
      <w:bookmarkStart w:id="249" w:name="_Toc26427775"/>
      <w:bookmarkStart w:id="250" w:name="_Toc26539236"/>
      <w:bookmarkStart w:id="251" w:name="_Toc26799850"/>
      <w:bookmarkStart w:id="252" w:name="_Toc26880630"/>
      <w:bookmarkStart w:id="253" w:name="_Toc28347837"/>
      <w:r>
        <w:rPr>
          <w:rFonts w:ascii="Times New Roman" w:eastAsia="Times New Roman" w:hAnsi="Times New Roman" w:cs="Times New Roman"/>
          <w:iCs/>
          <w:noProof/>
          <w:color w:val="auto"/>
          <w:sz w:val="24"/>
          <w:szCs w:val="24"/>
          <w:lang w:val="sr-Latn-CS" w:eastAsia="sr-Cyrl-RS"/>
        </w:rPr>
        <w:t>Čla</w:t>
      </w:r>
      <w:bookmarkEnd w:id="249"/>
      <w:r>
        <w:rPr>
          <w:rFonts w:ascii="Times New Roman" w:eastAsia="Times New Roman" w:hAnsi="Times New Roman" w:cs="Times New Roman"/>
          <w:iCs/>
          <w:noProof/>
          <w:color w:val="auto"/>
          <w:sz w:val="24"/>
          <w:szCs w:val="24"/>
          <w:lang w:val="sr-Latn-CS" w:eastAsia="sr-Cyrl-RS"/>
        </w:rPr>
        <w:t>n</w:t>
      </w:r>
      <w:r w:rsidRPr="00AE1D61">
        <w:rPr>
          <w:rFonts w:ascii="Times New Roman" w:eastAsia="Times New Roman" w:hAnsi="Times New Roman" w:cs="Times New Roman"/>
          <w:iCs/>
          <w:noProof/>
          <w:color w:val="auto"/>
          <w:sz w:val="24"/>
          <w:szCs w:val="24"/>
          <w:lang w:val="sr-Latn-CS" w:eastAsia="sr-Cyrl-RS"/>
        </w:rPr>
        <w:t xml:space="preserve"> 42.</w:t>
      </w:r>
      <w:bookmarkEnd w:id="250"/>
      <w:bookmarkEnd w:id="251"/>
      <w:bookmarkEnd w:id="252"/>
      <w:bookmarkEnd w:id="253"/>
      <w:r w:rsidRPr="00AE1D61">
        <w:rPr>
          <w:rFonts w:ascii="Times New Roman" w:eastAsia="Times New Roman" w:hAnsi="Times New Roman" w:cs="Times New Roman"/>
          <w:iCs/>
          <w:noProof/>
          <w:color w:val="auto"/>
          <w:sz w:val="24"/>
          <w:szCs w:val="24"/>
          <w:lang w:val="sr-Latn-CS" w:eastAsia="sr-Cyrl-RS"/>
        </w:rPr>
        <w:t xml:space="preserve"> </w:t>
      </w:r>
    </w:p>
    <w:p w:rsidR="00AE1D61" w:rsidRPr="00AE1D61" w:rsidRDefault="00AE1D61" w:rsidP="00AE1D61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R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Funkciju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funkcije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dobije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saglasnost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zahtjev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izdavanje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saglasnosti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obavezno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prilaže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dokaze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ispunjavanju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uslova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41.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odluku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imenovanju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program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vođenja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Kandidat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postupku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odlučivanja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izdavanju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saglasnosti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dužan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predstavi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program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vođenja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zahtjev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izdavanje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saglasnosti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funkcije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kandidat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ispunjava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uslove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41.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podataka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raspolaže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proizlazi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mogao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zbog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djelatnosti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kandidat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odnosno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zbog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radnji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počinio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ugroziti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skladu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pravilima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upravljanju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rizicima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nadležnih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organa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tražiti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podatke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potrebne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procjenu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kandidat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ispunjava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uslove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dužan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obavijesti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tome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prestala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funkcija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roku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pet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radnih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prestanka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funkcije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slučaju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izdaje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rješenje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utvrđuje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saglasnost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prestala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važi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davanje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saglasnosti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funkcije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shodno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primjenjuju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1, 2, 4, 5,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</w:pPr>
      <w:bookmarkStart w:id="254" w:name="_Toc28347838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lastRenderedPageBreak/>
        <w:t>Dužnosti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direktor</w:t>
      </w:r>
      <w:bookmarkEnd w:id="254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Times New Roman" w:hAnsi="Times New Roman" w:cs="Times New Roman"/>
          <w:iCs/>
          <w:noProof/>
          <w:color w:val="auto"/>
          <w:sz w:val="24"/>
          <w:szCs w:val="24"/>
          <w:lang w:val="sr-Latn-CS" w:eastAsia="sr-Cyrl-RS"/>
        </w:rPr>
      </w:pPr>
      <w:bookmarkStart w:id="255" w:name="_Toc26427777"/>
      <w:bookmarkStart w:id="256" w:name="_Toc26539238"/>
      <w:bookmarkStart w:id="257" w:name="_Toc26799852"/>
      <w:bookmarkStart w:id="258" w:name="_Toc26880632"/>
      <w:bookmarkStart w:id="259" w:name="_Toc28347839"/>
      <w:r>
        <w:rPr>
          <w:rFonts w:ascii="Times New Roman" w:eastAsia="Times New Roman" w:hAnsi="Times New Roman" w:cs="Times New Roman"/>
          <w:iCs/>
          <w:noProof/>
          <w:color w:val="auto"/>
          <w:sz w:val="24"/>
          <w:szCs w:val="24"/>
          <w:lang w:val="sr-Latn-CS" w:eastAsia="sr-Cyrl-RS"/>
        </w:rPr>
        <w:t>Čla</w:t>
      </w:r>
      <w:bookmarkEnd w:id="255"/>
      <w:r>
        <w:rPr>
          <w:rFonts w:ascii="Times New Roman" w:eastAsia="Times New Roman" w:hAnsi="Times New Roman" w:cs="Times New Roman"/>
          <w:iCs/>
          <w:noProof/>
          <w:color w:val="auto"/>
          <w:sz w:val="24"/>
          <w:szCs w:val="24"/>
          <w:lang w:val="sr-Latn-CS" w:eastAsia="sr-Cyrl-RS"/>
        </w:rPr>
        <w:t>n</w:t>
      </w:r>
      <w:r w:rsidRPr="00AE1D61">
        <w:rPr>
          <w:rFonts w:ascii="Times New Roman" w:eastAsia="Times New Roman" w:hAnsi="Times New Roman" w:cs="Times New Roman"/>
          <w:iCs/>
          <w:noProof/>
          <w:color w:val="auto"/>
          <w:sz w:val="24"/>
          <w:szCs w:val="24"/>
          <w:lang w:val="sr-Latn-CS" w:eastAsia="sr-Cyrl-RS"/>
        </w:rPr>
        <w:t xml:space="preserve"> 43.</w:t>
      </w:r>
      <w:bookmarkEnd w:id="256"/>
      <w:bookmarkEnd w:id="257"/>
      <w:bookmarkEnd w:id="258"/>
      <w:bookmarkEnd w:id="259"/>
    </w:p>
    <w:p w:rsidR="00AE1D61" w:rsidRPr="00AE1D61" w:rsidRDefault="00AE1D61" w:rsidP="00AE1D61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R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dužan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bez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odgađanja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pisanoj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formi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obavijesti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ugrožena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likvidnost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adekvatnost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nastupili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razlozi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prestanak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važenja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oduzimanje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dozvole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djelatnosti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finansijski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položaj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promijeni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ispunjava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uslove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pogledu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minimalnog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razlozima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neispunjavanja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politike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nalazima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poreskih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organa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nadzornih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organa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postupku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dužan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bez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odgađanja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pisanoj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formi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obavijesti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svom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imenovanju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odnosno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prestala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funkcija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organima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upravljanja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pravnih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pravnim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osnovu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indirektno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njegove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porodice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stekao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akcije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odnosno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udjele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pravnog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osnovu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zajedno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članovima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porodice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pravnom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stiče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povećava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kvalifikovano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učešće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odnosno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njihov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udio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smanjio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ispod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granice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kvalifikovanog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učešća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  <w:bookmarkStart w:id="260" w:name="_Toc28347840"/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</w:p>
    <w:p w:rsidR="00AE1D61" w:rsidRPr="00AE1D61" w:rsidRDefault="00AE1D61" w:rsidP="00AE1D6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prestanak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odbor</w:t>
      </w:r>
      <w:bookmarkEnd w:id="260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</w:pPr>
      <w:bookmarkStart w:id="261" w:name="_Toc26427779"/>
      <w:bookmarkStart w:id="262" w:name="_Toc26539240"/>
      <w:bookmarkStart w:id="263" w:name="_Toc26799854"/>
      <w:bookmarkStart w:id="264" w:name="_Toc26880634"/>
      <w:bookmarkStart w:id="265" w:name="_Toc28347841"/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Čla</w:t>
      </w:r>
      <w:bookmarkEnd w:id="261"/>
      <w:r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 xml:space="preserve"> 44.</w:t>
      </w:r>
      <w:bookmarkEnd w:id="262"/>
      <w:bookmarkEnd w:id="263"/>
      <w:bookmarkEnd w:id="264"/>
      <w:bookmarkEnd w:id="265"/>
      <w:r w:rsidRPr="00AE1D61">
        <w:rPr>
          <w:rFonts w:ascii="Times New Roman" w:eastAsia="Calibri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dobijena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netačne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neistinite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neistinito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datih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bitnih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propisima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oduzeti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prekršio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čega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ugrozio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likvidnost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solventnost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obezbijedio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sproveo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mjere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nadzora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naložila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oduzme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odmah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donese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razrješenju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imenuje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vršioca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mjeseci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istekne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obimu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omogućava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provjeravanje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činjenica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okolnosti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shodno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primjenjuju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oduzimanje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prestanak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važenja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funkcije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faktorin</w:t>
      </w:r>
      <w:bookmarkStart w:id="266" w:name="_Toc26427781"/>
      <w:bookmarkStart w:id="267" w:name="_Toc28347842"/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VI</w:t>
      </w:r>
      <w:bookmarkEnd w:id="266"/>
      <w:bookmarkEnd w:id="267"/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268" w:name="_Toc26539242"/>
      <w:bookmarkStart w:id="269" w:name="_Toc26799856"/>
      <w:bookmarkStart w:id="270" w:name="_Toc26880636"/>
      <w:bookmarkStart w:id="271" w:name="_Toc28347843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UPRAVLJANJE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RIZICIMA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FINANSIJSKO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IZVJEŠTAVANJE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REVIZIJ</w:t>
      </w:r>
      <w:bookmarkEnd w:id="268"/>
      <w:bookmarkEnd w:id="269"/>
      <w:bookmarkEnd w:id="270"/>
      <w:bookmarkEnd w:id="271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jc w:val="left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72" w:name="_Toc28347844"/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Upravljanje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rizicim</w:t>
      </w:r>
      <w:bookmarkEnd w:id="27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273" w:name="_Toc26427784"/>
      <w:bookmarkStart w:id="274" w:name="_Toc26539244"/>
      <w:bookmarkStart w:id="275" w:name="_Toc26799858"/>
      <w:bookmarkStart w:id="276" w:name="_Toc26880638"/>
      <w:bookmarkStart w:id="277" w:name="_Toc28347845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</w:t>
      </w:r>
      <w:r>
        <w:rPr>
          <w:rFonts w:ascii="Times New Roman" w:eastAsia="Arial" w:hAnsi="Times New Roman" w:cs="Times New Roman"/>
          <w:noProof/>
          <w:color w:val="auto"/>
          <w:spacing w:val="1"/>
          <w:sz w:val="24"/>
          <w:szCs w:val="24"/>
          <w:lang w:val="sr-Latn-CS"/>
        </w:rPr>
        <w:t>a</w:t>
      </w:r>
      <w:bookmarkEnd w:id="273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45.</w:t>
      </w:r>
      <w:bookmarkEnd w:id="274"/>
      <w:bookmarkEnd w:id="275"/>
      <w:bookmarkEnd w:id="276"/>
      <w:bookmarkEnd w:id="277"/>
    </w:p>
    <w:p w:rsidR="00AE1D61" w:rsidRPr="00AE1D61" w:rsidRDefault="00AE1D61" w:rsidP="00AE1D61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right="54"/>
        <w:jc w:val="both"/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>(1)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št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uspostavi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sveobuhvatan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efikasan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sistem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upravljanja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rizicima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način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widowControl w:val="0"/>
        <w:tabs>
          <w:tab w:val="left" w:pos="720"/>
        </w:tabs>
        <w:spacing w:after="0" w:line="240" w:lineRule="auto"/>
        <w:ind w:right="54"/>
        <w:jc w:val="both"/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ab/>
        <w:t xml:space="preserve">1)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donese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odgovarajuće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strategije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politike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procedure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upravljanje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rizicima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tabs>
          <w:tab w:val="left" w:pos="720"/>
        </w:tabs>
        <w:spacing w:after="0" w:line="240" w:lineRule="auto"/>
        <w:ind w:right="54"/>
        <w:jc w:val="both"/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ab/>
        <w:t xml:space="preserve">2)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uspostavi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procese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postupke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upravljanje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rizicima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koji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obuhvataju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jer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rocje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ć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ika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tabs>
          <w:tab w:val="left" w:pos="993"/>
        </w:tabs>
        <w:spacing w:after="0" w:line="240" w:lineRule="auto"/>
        <w:ind w:right="54" w:firstLine="709"/>
        <w:jc w:val="both"/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uspostavi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odgovarajuću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organizaciju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poslova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efikasno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sprovođenje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procesa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postupaka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upravljanja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rizicima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jasno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definisanim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ovlašćenjima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odgovornostima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unutar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vrši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nedvosmislena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podjela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poslova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widowControl w:val="0"/>
        <w:tabs>
          <w:tab w:val="left" w:pos="993"/>
        </w:tabs>
        <w:spacing w:after="0" w:line="240" w:lineRule="auto"/>
        <w:ind w:right="54" w:firstLine="709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obezbijedi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izvještavanje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rizicima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izloženo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bi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moglo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biti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izloženo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tokom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svog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poslovanja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ind w:right="54" w:firstLine="709"/>
        <w:jc w:val="both"/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donosi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akt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razrađuje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jume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čin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lj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c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pacing w:val="8"/>
          <w:sz w:val="24"/>
          <w:szCs w:val="24"/>
          <w:lang w:val="sr-Latn-CS"/>
        </w:rPr>
        <w:t>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278" w:name="_Toc28347846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Interna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revizij</w:t>
      </w:r>
      <w:bookmarkEnd w:id="278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279" w:name="_Toc26539246"/>
      <w:bookmarkStart w:id="280" w:name="_Toc26799860"/>
      <w:bookmarkStart w:id="281" w:name="_Toc26880640"/>
      <w:bookmarkStart w:id="282" w:name="_Toc2834784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>
        <w:rPr>
          <w:rFonts w:ascii="Times New Roman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</w:t>
      </w:r>
      <w:bookmarkEnd w:id="279"/>
      <w:bookmarkEnd w:id="280"/>
      <w:bookmarkEnd w:id="281"/>
      <w:bookmarkEnd w:id="282"/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jc w:val="both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283" w:name="_Toc26880641"/>
      <w:bookmarkStart w:id="284" w:name="_Toc28347848"/>
      <w:bookmarkStart w:id="285" w:name="_Toc26427786"/>
      <w:bookmarkStart w:id="286" w:name="_Toc26539247"/>
      <w:bookmarkStart w:id="287" w:name="_Toc26799861"/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obavezno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ima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internu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revizij</w:t>
      </w:r>
      <w:bookmarkEnd w:id="283"/>
      <w:bookmarkEnd w:id="284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. </w:t>
      </w:r>
      <w:bookmarkEnd w:id="285"/>
      <w:bookmarkEnd w:id="286"/>
      <w:bookmarkEnd w:id="287"/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>(2)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š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uje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ođenj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te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rne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ev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ne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isno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ob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ivno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rocj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sist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unutrašnjih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trol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57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isno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ob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30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struč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27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š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lj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30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30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unap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re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đ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27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slo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  <w:r w:rsidRPr="00AE1D61">
        <w:rPr>
          <w:rFonts w:ascii="Times New Roman" w:eastAsia="Arial" w:hAnsi="Times New Roman" w:cs="Times New Roman"/>
          <w:noProof/>
          <w:spacing w:val="37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29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bo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ljš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3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l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rušt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ode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ći</w:t>
      </w:r>
      <w:r w:rsidRPr="00AE1D61">
        <w:rPr>
          <w:rFonts w:ascii="Times New Roman" w:eastAsia="Arial" w:hAnsi="Times New Roman" w:cs="Times New Roman"/>
          <w:noProof/>
          <w:spacing w:val="8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sist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ski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multidisciplinaran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rocje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nj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b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ljš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lj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riz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ci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trole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rp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rati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lj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ind w:right="66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288" w:name="_Toc28347849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Sprečavanje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pranja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novca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finansiranja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terorističkih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aktivnost</w:t>
      </w:r>
      <w:bookmarkEnd w:id="288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289" w:name="_Toc26539249"/>
      <w:bookmarkStart w:id="290" w:name="_Toc26799863"/>
      <w:bookmarkStart w:id="291" w:name="_Toc26880643"/>
      <w:bookmarkStart w:id="292" w:name="_Toc28347850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</w:t>
      </w:r>
      <w:r>
        <w:rPr>
          <w:rFonts w:ascii="Times New Roman" w:eastAsia="Arial" w:hAnsi="Times New Roman" w:cs="Times New Roman"/>
          <w:noProof/>
          <w:color w:val="auto"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47.</w:t>
      </w:r>
      <w:bookmarkEnd w:id="289"/>
      <w:bookmarkEnd w:id="290"/>
      <w:bookmarkEnd w:id="291"/>
      <w:bookmarkEnd w:id="292"/>
    </w:p>
    <w:p w:rsidR="00AE1D61" w:rsidRPr="00AE1D61" w:rsidRDefault="00AE1D61" w:rsidP="00AE1D61">
      <w:pPr>
        <w:widowControl w:val="0"/>
        <w:spacing w:after="0" w:line="240" w:lineRule="auto"/>
        <w:ind w:right="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E1D61" w:rsidRPr="00AE1D61" w:rsidRDefault="00AE1D61" w:rsidP="00AE1D61">
      <w:pPr>
        <w:widowControl w:val="0"/>
        <w:tabs>
          <w:tab w:val="left" w:pos="720"/>
        </w:tabs>
        <w:spacing w:after="0" w:line="240" w:lineRule="auto"/>
        <w:ind w:right="5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št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4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slo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izvršava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obaveze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zadatke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kao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pre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jere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definisane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is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reč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ca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ra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stičkih</w:t>
      </w:r>
      <w:r w:rsidRPr="00AE1D61"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aktivnosti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ind w:right="5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293" w:name="_Toc28347851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Vođenje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poslovnih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knjiga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finansijskih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izvješta</w:t>
      </w:r>
      <w:bookmarkEnd w:id="293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ja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294" w:name="_Toc26539251"/>
      <w:bookmarkStart w:id="295" w:name="_Toc26799865"/>
      <w:bookmarkStart w:id="296" w:name="_Toc26880645"/>
      <w:bookmarkStart w:id="297" w:name="_Toc28347852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</w:t>
      </w:r>
      <w:r>
        <w:rPr>
          <w:rFonts w:ascii="Times New Roman" w:eastAsia="Arial" w:hAnsi="Times New Roman" w:cs="Times New Roman"/>
          <w:noProof/>
          <w:color w:val="auto"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48.</w:t>
      </w:r>
      <w:bookmarkEnd w:id="294"/>
      <w:bookmarkEnd w:id="295"/>
      <w:bookmarkEnd w:id="296"/>
      <w:bookmarkEnd w:id="297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right="56" w:firstLine="567"/>
        <w:jc w:val="both"/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št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uredno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ažurno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kontinuirano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vodi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poslovne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knjige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sačinjava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knjigovodstvene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isprave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vrednuje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imovinu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obaveze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sačinjava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objavljuje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svoje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finansijske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izvještaje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skladu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ovim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zakonom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propisima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kojima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uređuje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računovodstvo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right="56" w:firstLine="567"/>
        <w:jc w:val="both"/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knjigovodstvene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isprave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poslovne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knjige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finansijske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izvještaje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vodi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način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istinito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objektivno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prikazuju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njegovo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poslovanje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finansijsko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stanje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osnovu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kojih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može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bilo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koje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vrijeme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provjeriti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li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posluje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skladu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propisima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standardima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struke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right="-20" w:firstLine="567"/>
        <w:jc w:val="both"/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>(3)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št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-10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ustupilac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me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ci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>iz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>člana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 5. </w:t>
      </w:r>
      <w:r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>ovog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>zakona</w:t>
      </w:r>
      <w:r w:rsidRPr="00AE1D61">
        <w:rPr>
          <w:rFonts w:ascii="Times New Roman" w:eastAsia="Arial" w:hAnsi="Times New Roman" w:cs="Times New Roman"/>
          <w:noProof/>
          <w:spacing w:val="6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47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</w:t>
      </w:r>
      <w:r w:rsidRPr="00AE1D61">
        <w:rPr>
          <w:rFonts w:ascii="Times New Roman" w:eastAsia="Arial" w:hAnsi="Times New Roman" w:cs="Times New Roman"/>
          <w:noProof/>
          <w:spacing w:val="48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njig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47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š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rajuća</w:t>
      </w:r>
      <w:r w:rsidRPr="00AE1D61">
        <w:rPr>
          <w:rFonts w:ascii="Times New Roman" w:eastAsia="Arial" w:hAnsi="Times New Roman" w:cs="Times New Roman"/>
          <w:noProof/>
          <w:spacing w:val="47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nj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47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ih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rhi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skl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ovim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zakonom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propisima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kojima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uređuje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računovodstvo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.</w:t>
      </w:r>
      <w:bookmarkStart w:id="298" w:name="_Toc28347853"/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lastRenderedPageBreak/>
        <w:t>Spoljna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revizij</w:t>
      </w:r>
      <w:bookmarkEnd w:id="298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299" w:name="_Toc26539253"/>
      <w:bookmarkStart w:id="300" w:name="_Toc26799867"/>
      <w:bookmarkStart w:id="301" w:name="_Toc26880647"/>
      <w:bookmarkStart w:id="302" w:name="_Toc28347854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49.</w:t>
      </w:r>
      <w:bookmarkEnd w:id="299"/>
      <w:bookmarkEnd w:id="300"/>
      <w:bookmarkEnd w:id="301"/>
      <w:bookmarkEnd w:id="302"/>
    </w:p>
    <w:p w:rsidR="00AE1D61" w:rsidRPr="00AE1D61" w:rsidRDefault="00AE1D61" w:rsidP="00AE1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Godišnji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finansijski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izvještaji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podliježu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obavezi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spoljne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ab/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Radi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obavljanja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godišnje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finansijskih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izvještaja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iz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stava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1.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ovog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člana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angažuje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privredno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ab/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ab/>
        <w:t xml:space="preserve">(3)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iz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stava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1.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ovog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člana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sprovodi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skladu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ovim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zakonom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propisima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kojima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uređuje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računovodstvo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Privredno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reviziju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zahtjev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dostavi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doda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informacije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vezi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obavljenom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revizijom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03" w:name="_Toc28347855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Izbor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privrednog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revizij</w:t>
      </w:r>
      <w:bookmarkEnd w:id="303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04" w:name="_Toc26539255"/>
      <w:bookmarkStart w:id="305" w:name="_Toc26799869"/>
      <w:bookmarkStart w:id="306" w:name="_Toc26880649"/>
      <w:bookmarkStart w:id="307" w:name="_Toc28347856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50.</w:t>
      </w:r>
      <w:bookmarkEnd w:id="304"/>
      <w:bookmarkEnd w:id="305"/>
      <w:bookmarkEnd w:id="306"/>
      <w:bookmarkEnd w:id="307"/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right="63" w:firstLine="567"/>
        <w:jc w:val="both"/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>(1)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Skupština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dužna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izabere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privredno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najkasnije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30.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septembra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tekuće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godine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koje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će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obaviti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finansijskih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izvještaja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tu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godinu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right="63" w:firstLine="567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odluku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izboru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privrednog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reviziju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dostavi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Komisiji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donošenja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odluke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right="63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08" w:name="_Toc28347857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Obaveze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po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izvještaju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privrednog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revizij</w:t>
      </w:r>
      <w:bookmarkEnd w:id="308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09" w:name="_Toc26539257"/>
      <w:bookmarkStart w:id="310" w:name="_Toc26799871"/>
      <w:bookmarkStart w:id="311" w:name="_Toc26880651"/>
      <w:bookmarkStart w:id="312" w:name="_Toc28347858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51.</w:t>
      </w:r>
      <w:bookmarkEnd w:id="309"/>
      <w:bookmarkEnd w:id="310"/>
      <w:bookmarkEnd w:id="311"/>
      <w:bookmarkEnd w:id="312"/>
    </w:p>
    <w:p w:rsidR="00AE1D61" w:rsidRPr="00AE1D61" w:rsidRDefault="00AE1D61" w:rsidP="00AE1D61">
      <w:pPr>
        <w:widowControl w:val="0"/>
        <w:spacing w:after="0" w:line="240" w:lineRule="auto"/>
        <w:ind w:left="3276" w:right="3263" w:firstLine="8"/>
        <w:jc w:val="center"/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right="-36"/>
        <w:jc w:val="both"/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su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izvještaju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privrednog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reviziju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utvrđene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nepravilnosti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poslovanju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dužno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te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nepravilnosti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otkloni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tome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obavijesti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Komisiju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right="-36"/>
        <w:jc w:val="both"/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ne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otkloni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nepravilnosti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iz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stava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ovog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člana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će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preduzeti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mjere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propisane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ovim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drugim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zakonima</w:t>
      </w: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0"/>
          <w:tab w:val="left" w:pos="9320"/>
        </w:tabs>
        <w:spacing w:after="0" w:line="240" w:lineRule="auto"/>
        <w:ind w:right="-36" w:firstLine="567"/>
        <w:jc w:val="both"/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13" w:name="_Toc28347859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Dostavljanje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finansijskih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izvještaj</w:t>
      </w:r>
      <w:bookmarkEnd w:id="313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14" w:name="_Toc26539259"/>
      <w:bookmarkStart w:id="315" w:name="_Toc26799873"/>
      <w:bookmarkStart w:id="316" w:name="_Toc26880653"/>
      <w:bookmarkStart w:id="317" w:name="_Toc28347860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</w:t>
      </w:r>
      <w:r>
        <w:rPr>
          <w:rFonts w:ascii="Times New Roman" w:eastAsia="Arial" w:hAnsi="Times New Roman" w:cs="Times New Roman"/>
          <w:noProof/>
          <w:color w:val="auto"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52.</w:t>
      </w:r>
      <w:bookmarkEnd w:id="314"/>
      <w:bookmarkEnd w:id="315"/>
      <w:bookmarkEnd w:id="316"/>
      <w:bookmarkEnd w:id="317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noProof/>
          <w:spacing w:val="32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št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kt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ž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>da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st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išnje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ske</w:t>
      </w:r>
      <w:r w:rsidRPr="00AE1D61">
        <w:rPr>
          <w:rFonts w:ascii="Times New Roman" w:eastAsia="Arial" w:hAnsi="Times New Roman" w:cs="Times New Roman"/>
          <w:noProof/>
          <w:spacing w:val="3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vješ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ta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najkasnije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posljednjeg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februara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tekuće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prethodnu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godinu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izvještaje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privrednog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reviziju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četiri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mjeseca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isteka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koju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izvještaji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odnose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noProof/>
          <w:spacing w:val="32"/>
          <w:sz w:val="24"/>
          <w:szCs w:val="24"/>
          <w:lang w:val="sr-Latn-CS"/>
        </w:rPr>
      </w:pPr>
      <w:r w:rsidRPr="00AE1D61">
        <w:rPr>
          <w:rFonts w:ascii="Times New Roman" w:eastAsia="Arial" w:hAnsi="Times New Roman" w:cs="Times New Roman"/>
          <w:bCs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rdi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d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privredno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društvo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za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reviziju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nije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obavilo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reviziju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finansijskih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>izvještaja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društva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faktoring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u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skladu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sa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odredbama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ovog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drugih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zakona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podzakonskim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aktima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donesenim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na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osnovu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tih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zakona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propisima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iz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oblasti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revizije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pravilima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revizorske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struke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ili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kada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obavljenim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nadzorom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poslovanja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društva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faktoring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ili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na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drugi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način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utvrdi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mišljenje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finansijskim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izvještajima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društva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faktoring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nije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zasnovano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na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istinitim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objektivnim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činjenicama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Komisija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može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odbiti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revizorski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izvještaj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zahtijevati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od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društva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faktoring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drugo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privredno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društvo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reviziju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obavi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reviziju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o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trošku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društva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za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faktorin</w:t>
      </w:r>
      <w:bookmarkStart w:id="318" w:name="_Toc26427795"/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g</w:t>
      </w:r>
      <w:r w:rsidRPr="00AE1D61">
        <w:rPr>
          <w:rFonts w:ascii="Times New Roman" w:eastAsia="Times New Roman" w:hAnsi="Times New Roman" w:cs="Times New Roman"/>
          <w:noProof/>
          <w:spacing w:val="-4"/>
          <w:sz w:val="24"/>
          <w:szCs w:val="24"/>
          <w:lang w:val="sr-Latn-CS" w:eastAsia="it-IT"/>
        </w:rPr>
        <w:t>.</w:t>
      </w:r>
    </w:p>
    <w:p w:rsidR="00AE1D61" w:rsidRDefault="00AE1D61" w:rsidP="00AE1D61">
      <w:pPr>
        <w:pStyle w:val="Heading1"/>
        <w:widowControl w:val="0"/>
        <w:spacing w:before="0" w:line="240" w:lineRule="auto"/>
        <w:jc w:val="left"/>
        <w:rPr>
          <w:rFonts w:ascii="Times New Roman" w:eastAsia="Arial" w:hAnsi="Times New Roman" w:cs="Times New Roman"/>
          <w:bCs w:val="0"/>
          <w:noProof/>
          <w:spacing w:val="32"/>
          <w:sz w:val="24"/>
          <w:szCs w:val="24"/>
          <w:lang w:val="sr-Cyrl-BA"/>
        </w:rPr>
      </w:pPr>
      <w:bookmarkStart w:id="319" w:name="_Toc28347861"/>
    </w:p>
    <w:p w:rsidR="00AE1D61" w:rsidRPr="00AE1D61" w:rsidRDefault="00AE1D61" w:rsidP="00AE1D61">
      <w:pPr>
        <w:rPr>
          <w:lang w:val="sr-Cyrl-BA"/>
        </w:rPr>
      </w:pPr>
    </w:p>
    <w:p w:rsidR="00AE1D61" w:rsidRPr="00AE1D61" w:rsidRDefault="00AE1D61" w:rsidP="00AE1D61">
      <w:pPr>
        <w:pStyle w:val="Heading1"/>
        <w:widowControl w:val="0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lastRenderedPageBreak/>
        <w:t>GLAVA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VII</w:t>
      </w:r>
      <w:bookmarkEnd w:id="318"/>
      <w:bookmarkEnd w:id="319"/>
    </w:p>
    <w:p w:rsidR="00AE1D61" w:rsidRPr="00AE1D61" w:rsidRDefault="00AE1D61" w:rsidP="00AE1D61">
      <w:pPr>
        <w:pStyle w:val="Heading1"/>
        <w:widowControl w:val="0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320" w:name="_Toc26539261"/>
      <w:bookmarkStart w:id="321" w:name="_Toc26799875"/>
      <w:bookmarkStart w:id="322" w:name="_Toc26880655"/>
      <w:bookmarkStart w:id="323" w:name="_Toc28347862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End w:id="320"/>
      <w:bookmarkEnd w:id="321"/>
      <w:bookmarkEnd w:id="322"/>
      <w:bookmarkEnd w:id="323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OBAVLJANJEM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FAKTORINGA</w:t>
      </w:r>
    </w:p>
    <w:p w:rsidR="00AE1D61" w:rsidRPr="00AE1D61" w:rsidRDefault="00AE1D61" w:rsidP="00AE1D61">
      <w:pPr>
        <w:pStyle w:val="Heading2"/>
        <w:spacing w:before="0" w:line="240" w:lineRule="auto"/>
        <w:jc w:val="left"/>
        <w:rPr>
          <w:rFonts w:ascii="Times New Roman" w:hAnsi="Times New Roman" w:cs="Times New Roman"/>
          <w:b/>
          <w:noProof/>
          <w:color w:val="auto"/>
          <w:sz w:val="24"/>
          <w:szCs w:val="24"/>
          <w:lang w:val="sr-Latn-CS"/>
        </w:rPr>
      </w:pPr>
      <w:bookmarkStart w:id="324" w:name="_Toc26262047"/>
      <w:bookmarkStart w:id="325" w:name="_Toc28347863"/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Nadzorni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organi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53.</w:t>
      </w:r>
    </w:p>
    <w:p w:rsidR="00AE1D61" w:rsidRPr="00AE1D61" w:rsidRDefault="00AE1D61" w:rsidP="00AE1D61">
      <w:pPr>
        <w:tabs>
          <w:tab w:val="left" w:pos="99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Investiciono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razvojne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banke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Republike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Srpske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bankama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Agencija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bankarstvo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Republike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Srpske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daljem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tekstu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Agencija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). 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Ovlašćenja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Komisij</w:t>
      </w:r>
      <w:bookmarkEnd w:id="324"/>
      <w:bookmarkEnd w:id="325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326" w:name="_Toc26539263"/>
      <w:bookmarkStart w:id="327" w:name="_Toc26799877"/>
      <w:bookmarkStart w:id="328" w:name="_Toc26880657"/>
      <w:bookmarkStart w:id="329" w:name="_Toc28347864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54.</w:t>
      </w:r>
      <w:bookmarkEnd w:id="326"/>
      <w:bookmarkEnd w:id="327"/>
      <w:bookmarkEnd w:id="328"/>
      <w:bookmarkEnd w:id="329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ovlašćena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neposredni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posredni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čemu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slučaju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neposrednog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obavijestiti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najmanje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sedam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početka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Izuzetno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odlučiti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neposredni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bez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obavještavanja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ukoliko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procijeni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njegovim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obavještavanjem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bila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ugrožena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svrha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neposrednog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slučaju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obavještenje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neposrednom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uručuje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nadziranom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neposredno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početka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ovlašćeno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uvidom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finansijske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izvještaje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poslovnu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dokumentaciju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ostale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podatke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evidencije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obavezno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voditi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dostavljati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  <w:r w:rsidRPr="00AE1D61"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kao</w:t>
      </w:r>
      <w:r w:rsidRPr="00AE1D61"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ad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 w:rsidRPr="00AE1D61">
        <w:rPr>
          <w:rFonts w:ascii="Times New Roman" w:eastAsia="Arial" w:hAnsi="Times New Roman" w:cs="Times New Roman"/>
          <w:noProof/>
          <w:spacing w:val="2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d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ma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cio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im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sis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</w:t>
      </w:r>
      <w:r w:rsidRPr="00AE1D61">
        <w:rPr>
          <w:rFonts w:ascii="Times New Roman" w:eastAsia="Arial" w:hAnsi="Times New Roman" w:cs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hno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lo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j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3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k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omo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g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u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ć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ju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rad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f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ma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ci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g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sist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e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b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i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po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t</w:t>
      </w:r>
      <w:r>
        <w:rPr>
          <w:rFonts w:ascii="Times New Roman" w:eastAsia="Arial" w:hAnsi="Times New Roman" w:cs="Times New Roman"/>
          <w:noProof/>
          <w:spacing w:val="-3"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eb</w:t>
      </w:r>
      <w:r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>n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m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eastAsia="Arial" w:hAnsi="Times New Roman" w:cs="Times New Roman"/>
          <w:noProof/>
          <w:spacing w:val="8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v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šenj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eastAsia="Arial" w:hAnsi="Times New Roman" w:cs="Times New Roman"/>
          <w:noProof/>
          <w:spacing w:val="-1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nad</w:t>
      </w:r>
      <w:r>
        <w:rPr>
          <w:rFonts w:ascii="Times New Roman" w:eastAsia="Arial" w:hAnsi="Times New Roman" w:cs="Times New Roman"/>
          <w:noProof/>
          <w:spacing w:val="-2"/>
          <w:sz w:val="24"/>
          <w:szCs w:val="24"/>
          <w:lang w:val="sr-Latn-CS"/>
        </w:rPr>
        <w:t>z</w:t>
      </w:r>
      <w:r>
        <w:rPr>
          <w:rFonts w:ascii="Times New Roman" w:eastAsia="Arial" w:hAnsi="Times New Roman" w:cs="Times New Roman"/>
          <w:noProof/>
          <w:spacing w:val="1"/>
          <w:sz w:val="24"/>
          <w:szCs w:val="24"/>
          <w:lang w:val="sr-Latn-CS"/>
        </w:rPr>
        <w:t>o</w:t>
      </w: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ra</w:t>
      </w:r>
      <w:r w:rsidRPr="00AE1D61"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t>,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način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rokovima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skladu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odredbama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propisima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uzimanjem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izjava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izjašnjenja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odgovornih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zaposlenih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ovlastiti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privredno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reviziju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stručno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osposobljeno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pojedinih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zadataka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vezi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slučaju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ovlašćena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imaju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jednake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nadležnosti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ovlašćeno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ciljem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: </w:t>
      </w:r>
    </w:p>
    <w:p w:rsidR="00AE1D61" w:rsidRPr="00AE1D61" w:rsidRDefault="00AE1D61" w:rsidP="00AE1D61">
      <w:pPr>
        <w:tabs>
          <w:tab w:val="left" w:pos="1080"/>
        </w:tabs>
        <w:spacing w:after="0" w:line="240" w:lineRule="auto"/>
        <w:ind w:firstLine="8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povezano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tabs>
          <w:tab w:val="left" w:pos="1080"/>
        </w:tabs>
        <w:spacing w:after="0" w:line="240" w:lineRule="auto"/>
        <w:ind w:firstLine="8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kvalifikovano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učešće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nadležan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organ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saradnji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organom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analizu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finansijskih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izvještaja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dokumentacije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ovlašćenim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omogući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pristup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prostorije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obezbijedi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odgovarajuće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prostorije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radnike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uvid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dostavi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traženu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dokumentaciju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isprave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bilo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obliku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kopije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dokumenata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omogući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pristup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uvid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elektronska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sredstva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komunikacije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instalirana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lastRenderedPageBreak/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izjave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izjašnjenja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obezbijedi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uslove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potrebne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plaća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naknadu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čiju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visinu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način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obračuna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plaćanja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propisuje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svojom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tarifom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vršenju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svojih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ovlašćenja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postupa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uređuje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opšti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postupak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ukoliko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drugačije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propisan</w:t>
      </w:r>
      <w:bookmarkStart w:id="330" w:name="_Toc26262051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Odredbe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uređuju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ovlašćenja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vršenju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neposrednog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posrednog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obavezu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plaćanja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naknade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shodno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primjenjuju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jedinice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privrednog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sjedištem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Bosni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Hercegovini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izvan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Republike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Srpske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posluju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Republici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Srpskoj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CS" w:eastAsia="sr-Cyrl-R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55.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primjenjujući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drugačije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tužba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jurisdikcije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riješiti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poništi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ograničavaju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pričinjena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31" w:name="_Toc26262050"/>
      <w:bookmarkStart w:id="332" w:name="_Toc28347865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M</w:t>
      </w:r>
      <w:r>
        <w:rPr>
          <w:rFonts w:ascii="Times New Roman" w:eastAsia="Arial" w:hAnsi="Times New Roman" w:cs="Times New Roman"/>
          <w:noProof/>
          <w:color w:val="auto"/>
          <w:spacing w:val="-1"/>
          <w:sz w:val="24"/>
          <w:szCs w:val="24"/>
          <w:lang w:val="sr-Latn-CS"/>
        </w:rPr>
        <w:t>je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re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nadzor</w:t>
      </w:r>
      <w:bookmarkEnd w:id="331"/>
      <w:bookmarkEnd w:id="332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tabs>
          <w:tab w:val="left" w:pos="4140"/>
        </w:tabs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bookmarkStart w:id="333" w:name="_Toc26539267"/>
      <w:bookmarkStart w:id="334" w:name="_Toc26799881"/>
      <w:bookmarkStart w:id="335" w:name="_Toc26880659"/>
      <w:bookmarkStart w:id="336" w:name="_Toc28347866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</w:t>
      </w:r>
      <w:r>
        <w:rPr>
          <w:rFonts w:ascii="Times New Roman" w:eastAsia="Arial" w:hAnsi="Times New Roman" w:cs="Times New Roman"/>
          <w:noProof/>
          <w:color w:val="auto"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56.</w:t>
      </w:r>
      <w:bookmarkEnd w:id="333"/>
      <w:bookmarkEnd w:id="334"/>
      <w:bookmarkEnd w:id="335"/>
      <w:bookmarkEnd w:id="336"/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left" w:pos="72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donosi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rješenje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izreći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sljedeće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: 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preporuku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izreći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opomenu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naložiti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otklanjanje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nezakonitosti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nepravilnosti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odrediti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dodatne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oduzeti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dozvolu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djelatnosti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p w:rsidR="00AE1D61" w:rsidRPr="00AE1D61" w:rsidRDefault="00AE1D61" w:rsidP="00AE1D6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37" w:name="_Toc28347867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Preporuk</w:t>
      </w:r>
      <w:bookmarkEnd w:id="337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e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38" w:name="_Toc26539269"/>
      <w:bookmarkStart w:id="339" w:name="_Toc26799883"/>
      <w:bookmarkStart w:id="340" w:name="_Toc26880661"/>
      <w:bookmarkStart w:id="341" w:name="_Toc28347868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</w:t>
      </w:r>
      <w:r>
        <w:rPr>
          <w:rFonts w:ascii="Times New Roman" w:eastAsia="Arial" w:hAnsi="Times New Roman" w:cs="Times New Roman"/>
          <w:noProof/>
          <w:color w:val="auto"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57.</w:t>
      </w:r>
      <w:bookmarkEnd w:id="338"/>
      <w:bookmarkEnd w:id="339"/>
      <w:bookmarkEnd w:id="340"/>
      <w:bookmarkEnd w:id="341"/>
    </w:p>
    <w:p w:rsidR="00AE1D61" w:rsidRPr="00AE1D61" w:rsidRDefault="00AE1D61" w:rsidP="00AE1D61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</w:pP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vršenju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utvrdi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slabosti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nedostatke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nedosljednosti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nemaju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značaj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kršenja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propisa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izdaje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preporuke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radi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poboljšanja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finansijske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stabilnosti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položaja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smanjenja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izloženo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izloženo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svom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bookmarkEnd w:id="330"/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dinamiku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</w:t>
      </w:r>
      <w:bookmarkStart w:id="342" w:name="_Toc2834786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Latn-CS"/>
        </w:rPr>
      </w:pPr>
    </w:p>
    <w:p w:rsidR="00AE1D61" w:rsidRDefault="00AE1D61" w:rsidP="00AE1D61">
      <w:pPr>
        <w:spacing w:after="0" w:line="240" w:lineRule="auto"/>
        <w:jc w:val="center"/>
        <w:rPr>
          <w:rFonts w:ascii="Times New Roman" w:eastAsia="Arial" w:hAnsi="Times New Roman" w:cs="Times New Roman"/>
          <w:noProof/>
          <w:sz w:val="24"/>
          <w:szCs w:val="24"/>
          <w:lang w:val="sr-Cyrl-BA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Arial" w:hAnsi="Times New Roman" w:cs="Times New Roman"/>
          <w:noProof/>
          <w:sz w:val="24"/>
          <w:szCs w:val="24"/>
          <w:lang w:val="sr-Latn-CS"/>
        </w:rPr>
        <w:lastRenderedPageBreak/>
        <w:t>Opomena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58.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widowControl w:val="0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</w:pP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ab/>
        <w:t xml:space="preserve">(1)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Ako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u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vršenju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poslovanjem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utvrdi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nezakonitosti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nepravilnosti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priroda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obim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utvrđenih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nezakonitosti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nepravilnosti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nemaju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značajan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uticaj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štetne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posljedice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može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izreći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opomenu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opomenu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javno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objaviti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Opomena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sadrži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nalog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ispravi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utvrđene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nezakonitosti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nepravilnosti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rokove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dužno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to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učini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dinamiku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obavještavanja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preduzetim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radnjama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aktivnostima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postupi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po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nalogu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izdati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rješenje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otklanjanje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utvrđenih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nezakonitosti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nepravilnosti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RS"/>
        </w:rPr>
      </w:pP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Otklanjanje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nezakonitosti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nepravilnost</w:t>
      </w:r>
      <w:bookmarkEnd w:id="342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i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pStyle w:val="Heading2"/>
        <w:widowControl w:val="0"/>
        <w:spacing w:before="0" w:line="240" w:lineRule="auto"/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</w:pPr>
      <w:bookmarkStart w:id="343" w:name="_Toc26539271"/>
      <w:bookmarkStart w:id="344" w:name="_Toc26799885"/>
      <w:bookmarkStart w:id="345" w:name="_Toc26880663"/>
      <w:bookmarkStart w:id="346" w:name="_Toc28347870"/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Čl</w:t>
      </w:r>
      <w:r>
        <w:rPr>
          <w:rFonts w:ascii="Times New Roman" w:eastAsia="Arial" w:hAnsi="Times New Roman" w:cs="Times New Roman"/>
          <w:noProof/>
          <w:color w:val="auto"/>
          <w:spacing w:val="1"/>
          <w:sz w:val="24"/>
          <w:szCs w:val="24"/>
          <w:lang w:val="sr-Latn-CS"/>
        </w:rPr>
        <w:t>a</w:t>
      </w:r>
      <w:r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>n</w:t>
      </w:r>
      <w:r w:rsidRPr="00AE1D61">
        <w:rPr>
          <w:rFonts w:ascii="Times New Roman" w:eastAsia="Arial" w:hAnsi="Times New Roman" w:cs="Times New Roman"/>
          <w:noProof/>
          <w:color w:val="auto"/>
          <w:sz w:val="24"/>
          <w:szCs w:val="24"/>
          <w:lang w:val="sr-Latn-CS"/>
        </w:rPr>
        <w:t xml:space="preserve"> 59.</w:t>
      </w:r>
      <w:bookmarkEnd w:id="343"/>
      <w:bookmarkEnd w:id="344"/>
      <w:bookmarkEnd w:id="345"/>
      <w:bookmarkEnd w:id="346"/>
    </w:p>
    <w:p w:rsidR="00AE1D61" w:rsidRPr="00AE1D61" w:rsidRDefault="00AE1D61" w:rsidP="00AE1D61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rješenjem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nalaže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otkloni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nezakonitosti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nepravilnosti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utvrđene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postupku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postupi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skladu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preporukom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opomenom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57.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58.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utvrdi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kršenje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propisa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svom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značaju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obimu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značajne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štetne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posljedice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ab/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Rješenjem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kojim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se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nalaže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otklanjanje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nezakonitosti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nepravilnosti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određuje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rok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njihovo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otklanjanje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dostavljanje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izvještaja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preduzetim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mjerama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odgovarajućim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dokazima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nezakonitosti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nepravilnosti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otklonjene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Pored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izvještaja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preduzetim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mjerama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stava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može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naložiti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dostavljanje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izvještaja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privrednog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reviziju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otklanjanju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utvrđenih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nedostataka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nepravilnosti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.   </w:t>
      </w:r>
    </w:p>
    <w:p w:rsidR="00AE1D61" w:rsidRPr="00AE1D61" w:rsidRDefault="00AE1D61" w:rsidP="00AE1D61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</w:pPr>
      <w:bookmarkStart w:id="347" w:name="_Toc28347871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Dodatne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mjer</w:t>
      </w:r>
      <w:bookmarkEnd w:id="347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e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</w:pPr>
      <w:bookmarkStart w:id="348" w:name="_Toc26539273"/>
      <w:bookmarkStart w:id="349" w:name="_Toc26799887"/>
      <w:bookmarkStart w:id="350" w:name="_Toc26880665"/>
      <w:bookmarkStart w:id="351" w:name="_Toc28347872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>Član</w:t>
      </w:r>
      <w:r w:rsidRPr="00AE1D6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val="sr-Latn-CS" w:eastAsia="sr-Cyrl-RS"/>
        </w:rPr>
        <w:t xml:space="preserve"> 60.</w:t>
      </w:r>
      <w:bookmarkEnd w:id="348"/>
      <w:bookmarkEnd w:id="349"/>
      <w:bookmarkEnd w:id="350"/>
      <w:bookmarkEnd w:id="351"/>
    </w:p>
    <w:p w:rsidR="00AE1D61" w:rsidRPr="00AE1D61" w:rsidRDefault="00AE1D61" w:rsidP="00AE1D61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određuje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dodatne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slučaju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zadovoljava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minimalne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uslove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postupa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skladu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rješenjem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otklanjanju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nezakonitosti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nepravilnosti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</w:p>
    <w:p w:rsidR="00AE1D61" w:rsidRPr="00AE1D61" w:rsidRDefault="00AE1D61" w:rsidP="00AE1D6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učestalo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krši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dužnosti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blagovremenog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pravilnog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izvještavanja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obavještavanja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način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ometa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vršenje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nadzora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slučajevima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smatra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potrebno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ab/>
        <w:t>(2)</w:t>
      </w:r>
      <w:r w:rsidRPr="00AE1D6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nastupe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okolnosti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stava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 w:bidi="en-US"/>
        </w:rPr>
        <w:t>člana</w:t>
      </w:r>
      <w:r w:rsidRPr="00AE1D61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RS" w:bidi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može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odredi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jednu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ili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više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sljedećih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naloži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usvoji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plan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obezbjeđenje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minimalnog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zakona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;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naloži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sazove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skupštinu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te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predloži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usvajanje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sljedećih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odluka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odluku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povećanju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osnovnog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novim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ulozima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odluku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povećanju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osnovnog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kapitala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sredstava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odluku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pokriću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gubitka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;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lastRenderedPageBreak/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naloži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razriješi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odnosno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direktore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imenuje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lica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;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zabrani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zaključivanje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novih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ugovora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kao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raspolaganje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imovinom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upravlja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;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naloži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upravnom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odboru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usvoji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sprovede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poboljšanje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sistema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upravljanja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rizicima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;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naloži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daljem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smanji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rizike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značajne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njegovo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;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naloži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druge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potrebne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sprovođenje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pravila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bonitetnog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poslovanja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.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rješenjem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izricanju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utvrđuje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rok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izvršenje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svake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naložene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mjere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iz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stava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ovog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člana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352" w:name="_Toc26262056"/>
      <w:bookmarkStart w:id="353" w:name="_Toc2834787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Oduzimanje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bookmarkEnd w:id="352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bookmarkEnd w:id="353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354" w:name="_Toc26539275"/>
      <w:bookmarkStart w:id="355" w:name="_Toc26799889"/>
      <w:bookmarkStart w:id="356" w:name="_Toc26880667"/>
      <w:bookmarkStart w:id="357" w:name="_Toc28347874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61.</w:t>
      </w:r>
      <w:bookmarkEnd w:id="354"/>
      <w:bookmarkEnd w:id="355"/>
      <w:bookmarkEnd w:id="356"/>
      <w:bookmarkEnd w:id="357"/>
    </w:p>
    <w:p w:rsidR="00AE1D61" w:rsidRPr="00AE1D61" w:rsidRDefault="00AE1D61" w:rsidP="00AE1D61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Komisija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oduzima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dozvolu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ako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: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ab/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dozvola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dobijena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osnovu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neistinitih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netačnih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podataka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</w:pP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društvo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prestane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ispunjava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propisane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uslove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dobijanje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dozvole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za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obavljanje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djelatnosti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>faktoringa</w:t>
      </w:r>
      <w:r w:rsidRPr="00AE1D61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R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pažnjom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pridržava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otklanjanje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nepravilnosti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prekršilo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pravovremenom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izvještavanju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onemogućavalo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pogorša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ugrozi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solventnost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administrativnu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provjeru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doneseni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AE1D61" w:rsidRPr="00AE1D61" w:rsidRDefault="00AE1D61" w:rsidP="00AE1D6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cijeloj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odmah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registarskom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oduzimanja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likvidacioni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likvidacioni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358" w:name="_Toc28347875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Neovlašćeno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faktoring</w:t>
      </w:r>
      <w:bookmarkEnd w:id="358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a</w:t>
      </w:r>
    </w:p>
    <w:p w:rsidR="00AE1D61" w:rsidRPr="00AE1D61" w:rsidRDefault="00AE1D61" w:rsidP="00AE1D61">
      <w:pPr>
        <w:pStyle w:val="Heading2"/>
        <w:keepNext w:val="0"/>
        <w:keepLines w:val="0"/>
        <w:widowControl w:val="0"/>
        <w:spacing w:before="0" w:line="240" w:lineRule="auto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359" w:name="_Toc26799891"/>
      <w:bookmarkStart w:id="360" w:name="_Toc26880669"/>
      <w:bookmarkStart w:id="361" w:name="_Toc28347876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62.</w:t>
      </w:r>
      <w:bookmarkEnd w:id="359"/>
      <w:bookmarkEnd w:id="360"/>
      <w:bookmarkEnd w:id="361"/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neovlašćeno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bavljenje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upozorenje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neovlašćenom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362" w:name="_Toc28347879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End w:id="362"/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VIII</w:t>
      </w:r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363" w:name="_Toc26539286"/>
      <w:bookmarkStart w:id="364" w:name="_Toc26799893"/>
      <w:bookmarkStart w:id="365" w:name="_Toc26880673"/>
      <w:bookmarkStart w:id="366" w:name="_Toc28347880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KAZNENE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ODREDB</w:t>
      </w:r>
      <w:bookmarkEnd w:id="363"/>
      <w:bookmarkEnd w:id="364"/>
      <w:bookmarkEnd w:id="365"/>
      <w:bookmarkEnd w:id="366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63.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10),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21),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3),  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3), 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pribavi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dobrovoljne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likvidacije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5), 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36),  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dobilo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6),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sveobuhvatan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rizicima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45),   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46), 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izvještaje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48), 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2),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7),</w:t>
      </w:r>
    </w:p>
    <w:p w:rsidR="00AE1D61" w:rsidRPr="00AE1D61" w:rsidRDefault="00AE1D61" w:rsidP="00AE1D61">
      <w:pPr>
        <w:pStyle w:val="ListParagraph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8). 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:rsid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:rsid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Prekršaji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64.</w:t>
      </w:r>
    </w:p>
    <w:p w:rsidR="00AE1D61" w:rsidRPr="00AE1D61" w:rsidRDefault="00AE1D61" w:rsidP="00AE1D61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korespondenciju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informiše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promjeni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2). 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65.</w:t>
      </w:r>
    </w:p>
    <w:p w:rsidR="00AE1D61" w:rsidRPr="00AE1D61" w:rsidRDefault="00AE1D61" w:rsidP="00AE1D61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sjedištem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korespondenciju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11), 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19),   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jedinicu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7),</w:t>
      </w: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8). </w:t>
      </w:r>
    </w:p>
    <w:p w:rsidR="00AE1D61" w:rsidRPr="00AE1D61" w:rsidRDefault="00AE1D61" w:rsidP="00AE1D6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66.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36),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40).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67.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12.500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3),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30),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nasljeđivanjem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sljedbeništvom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volje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3),</w:t>
      </w:r>
    </w:p>
    <w:p w:rsidR="00AE1D61" w:rsidRPr="00AE1D61" w:rsidRDefault="00AE1D61" w:rsidP="00AE1D6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5). </w:t>
      </w:r>
    </w:p>
    <w:p w:rsidR="00AE1D61" w:rsidRPr="00AE1D61" w:rsidRDefault="00AE1D61" w:rsidP="00AE1D61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 </w:t>
      </w:r>
    </w:p>
    <w:p w:rsidR="00AE1D61" w:rsidRPr="00AE1D61" w:rsidRDefault="00AE1D61" w:rsidP="00AE1D61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</w:p>
    <w:p w:rsidR="00AE1D61" w:rsidRPr="00AE1D61" w:rsidRDefault="00AE1D61" w:rsidP="00AE1D61">
      <w:pPr>
        <w:pStyle w:val="ListParagraph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68.</w:t>
      </w:r>
    </w:p>
    <w:p w:rsidR="00AE1D61" w:rsidRPr="00AE1D61" w:rsidRDefault="00AE1D61" w:rsidP="00AE1D61">
      <w:pPr>
        <w:pStyle w:val="ListParagraph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kazniće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30),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sticalac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kvalifikovanog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nasljeđivanjem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sljedbeništvom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volje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sticaoca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3),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36). 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69. 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izricanje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isključuje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izricanje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sprečavanje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preduzima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obavještava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sumnji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terorističkih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naloge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prekršajni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367" w:name="_Toc26427809"/>
      <w:bookmarkStart w:id="368" w:name="_Toc28347881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GLAVA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IX</w:t>
      </w:r>
      <w:bookmarkEnd w:id="367"/>
      <w:bookmarkEnd w:id="368"/>
    </w:p>
    <w:p w:rsidR="00AE1D61" w:rsidRPr="00AE1D61" w:rsidRDefault="00AE1D61" w:rsidP="00AE1D61">
      <w:pPr>
        <w:pStyle w:val="Heading1"/>
        <w:spacing w:before="0" w:line="240" w:lineRule="auto"/>
        <w:jc w:val="lef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369" w:name="_Toc26539288"/>
      <w:bookmarkStart w:id="370" w:name="_Toc26799895"/>
      <w:bookmarkStart w:id="371" w:name="_Toc26880675"/>
      <w:bookmarkStart w:id="372" w:name="_Toc28347882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PRELAZNE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ZAVRŠNE</w:t>
      </w:r>
      <w:r w:rsidRPr="00AE1D6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ODREDB</w:t>
      </w:r>
      <w:bookmarkEnd w:id="369"/>
      <w:bookmarkEnd w:id="370"/>
      <w:bookmarkEnd w:id="371"/>
      <w:bookmarkEnd w:id="372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AE1D61" w:rsidRPr="00AE1D61" w:rsidRDefault="00AE1D61" w:rsidP="00AE1D61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podzakonskih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70.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donijeti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podzakonske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AE1D61" w:rsidRPr="00AE1D61" w:rsidRDefault="00AE1D61" w:rsidP="00AE1D61">
      <w:pPr>
        <w:widowControl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71.</w:t>
      </w:r>
    </w:p>
    <w:p w:rsidR="00AE1D61" w:rsidRPr="00AE1D61" w:rsidRDefault="00AE1D61" w:rsidP="00AE1D61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highlight w:val="yellow"/>
          <w:lang w:val="sr-Latn-CS"/>
        </w:rPr>
      </w:pPr>
    </w:p>
    <w:p w:rsidR="00AE1D61" w:rsidRPr="00AE1D61" w:rsidRDefault="00AE1D61" w:rsidP="00AE1D61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nastavljaju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 xml:space="preserve">(2)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mjeseci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usklade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obavljati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djelatnost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faktoringa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E1D61" w:rsidRPr="00AE1D61" w:rsidRDefault="00AE1D61" w:rsidP="00AE1D6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72.</w:t>
      </w:r>
    </w:p>
    <w:p w:rsidR="00AE1D61" w:rsidRPr="00AE1D61" w:rsidRDefault="00AE1D61" w:rsidP="00AE1D6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“.</w:t>
      </w:r>
    </w:p>
    <w:p w:rsidR="00AE1D61" w:rsidRPr="00AE1D61" w:rsidRDefault="00AE1D61" w:rsidP="00AE1D61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50558">
        <w:rPr>
          <w:rFonts w:ascii="Times New Roman" w:hAnsi="Times New Roman" w:cs="Times New Roman"/>
          <w:noProof/>
          <w:sz w:val="24"/>
          <w:szCs w:val="24"/>
          <w:lang w:val="sr-Latn-CS"/>
        </w:rPr>
        <w:t>: 02/1-021-1054</w:t>
      </w:r>
      <w:bookmarkStart w:id="373" w:name="_GoBack"/>
      <w:bookmarkEnd w:id="373"/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>/20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</w:p>
    <w:p w:rsidR="00AE1D61" w:rsidRPr="00AE1D61" w:rsidRDefault="00AE1D61" w:rsidP="00AE1D61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Datum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2020.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</w:p>
    <w:p w:rsidR="00AE1D61" w:rsidRPr="00AE1D61" w:rsidRDefault="00AE1D61" w:rsidP="00AE1D61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center" w:pos="7560"/>
        </w:tabs>
        <w:spacing w:after="0" w:line="240" w:lineRule="auto"/>
        <w:rPr>
          <w:noProof/>
          <w:sz w:val="24"/>
          <w:szCs w:val="24"/>
          <w:lang w:val="sr-Latn-CS"/>
        </w:rPr>
      </w:pP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AE1D6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</w:p>
    <w:p w:rsidR="00AE1D61" w:rsidRPr="00AE1D61" w:rsidRDefault="00AE1D61" w:rsidP="00AE1D61">
      <w:pPr>
        <w:rPr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center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tabs>
          <w:tab w:val="center" w:pos="720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AE1D61" w:rsidRPr="00AE1D61" w:rsidRDefault="00AE1D61" w:rsidP="00AE1D61">
      <w:pP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:rsidR="00EF54C5" w:rsidRPr="00AE1D61" w:rsidRDefault="00EF54C5" w:rsidP="00AE1D61">
      <w:pPr>
        <w:rPr>
          <w:noProof/>
          <w:lang w:val="sr-Latn-CS"/>
        </w:rPr>
      </w:pPr>
    </w:p>
    <w:sectPr w:rsidR="00EF54C5" w:rsidRPr="00AE1D61" w:rsidSect="00481B89">
      <w:headerReference w:type="default" r:id="rId8"/>
      <w:footerReference w:type="default" r:id="rId9"/>
      <w:headerReference w:type="first" r:id="rId10"/>
      <w:pgSz w:w="11906" w:h="16838" w:code="9"/>
      <w:pgMar w:top="1440" w:right="1440" w:bottom="1440" w:left="1440" w:header="0" w:footer="84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F6D" w:rsidRDefault="00267F6D">
      <w:pPr>
        <w:spacing w:after="0" w:line="240" w:lineRule="auto"/>
      </w:pPr>
      <w:r>
        <w:separator/>
      </w:r>
    </w:p>
  </w:endnote>
  <w:endnote w:type="continuationSeparator" w:id="0">
    <w:p w:rsidR="00267F6D" w:rsidRDefault="00267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4C7" w:rsidRDefault="00267F6D">
    <w:pPr>
      <w:pStyle w:val="Footer"/>
      <w:jc w:val="right"/>
    </w:pPr>
  </w:p>
  <w:p w:rsidR="00D154C7" w:rsidRPr="006B690C" w:rsidRDefault="00267F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F6D" w:rsidRDefault="00267F6D">
      <w:pPr>
        <w:spacing w:after="0" w:line="240" w:lineRule="auto"/>
      </w:pPr>
      <w:r>
        <w:separator/>
      </w:r>
    </w:p>
  </w:footnote>
  <w:footnote w:type="continuationSeparator" w:id="0">
    <w:p w:rsidR="00267F6D" w:rsidRDefault="00267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4C7" w:rsidRDefault="00C1329D" w:rsidP="006B690C">
    <w:pPr>
      <w:pStyle w:val="Header"/>
      <w:tabs>
        <w:tab w:val="left" w:pos="4111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</w:p>
  <w:p w:rsidR="00D154C7" w:rsidRDefault="00267F6D" w:rsidP="006B690C">
    <w:pPr>
      <w:pStyle w:val="Header"/>
      <w:jc w:val="right"/>
      <w:rPr>
        <w:i/>
        <w:lang w:val="sr-Cyrl-RS"/>
      </w:rPr>
    </w:pPr>
  </w:p>
  <w:p w:rsidR="00D154C7" w:rsidRPr="007F6C08" w:rsidRDefault="00C1329D" w:rsidP="006B690C">
    <w:pPr>
      <w:pStyle w:val="Header"/>
      <w:jc w:val="right"/>
      <w:rPr>
        <w:i/>
        <w:lang w:val="sr-Cyrl-RS"/>
      </w:rPr>
    </w:pPr>
    <w:r w:rsidRPr="00F515F8">
      <w:rPr>
        <w:i/>
        <w:lang w:val="ru-RU"/>
      </w:rPr>
      <w:tab/>
    </w:r>
    <w:r w:rsidRPr="00625232">
      <w:rPr>
        <w:i/>
        <w:lang w:val="ru-RU"/>
      </w:rPr>
      <w:t xml:space="preserve"> </w:t>
    </w:r>
  </w:p>
  <w:p w:rsidR="00D154C7" w:rsidRPr="007F6C08" w:rsidRDefault="00267F6D" w:rsidP="00625232">
    <w:pPr>
      <w:pStyle w:val="Header"/>
      <w:jc w:val="right"/>
      <w:rPr>
        <w:i/>
        <w:lang w:val="sr-Cyrl-R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4C7" w:rsidRPr="00843D07" w:rsidRDefault="00267F6D">
    <w:pPr>
      <w:pStyle w:val="Header"/>
      <w:rPr>
        <w:lang w:val="ru-RU"/>
      </w:rPr>
    </w:pPr>
  </w:p>
  <w:p w:rsidR="00D154C7" w:rsidRPr="00843D07" w:rsidRDefault="00267F6D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146A"/>
    <w:multiLevelType w:val="hybridMultilevel"/>
    <w:tmpl w:val="9182984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F0A99"/>
    <w:multiLevelType w:val="hybridMultilevel"/>
    <w:tmpl w:val="DA7EA7C8"/>
    <w:lvl w:ilvl="0" w:tplc="14566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90382"/>
    <w:multiLevelType w:val="hybridMultilevel"/>
    <w:tmpl w:val="41224B02"/>
    <w:lvl w:ilvl="0" w:tplc="F3C0B83C">
      <w:start w:val="1"/>
      <w:numFmt w:val="bullet"/>
      <w:lvlText w:val="‒"/>
      <w:lvlJc w:val="left"/>
      <w:pPr>
        <w:ind w:left="927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06C29F5"/>
    <w:multiLevelType w:val="hybridMultilevel"/>
    <w:tmpl w:val="76DC691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51239"/>
    <w:multiLevelType w:val="hybridMultilevel"/>
    <w:tmpl w:val="A12EE22C"/>
    <w:lvl w:ilvl="0" w:tplc="16C62E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>
      <w:start w:val="1"/>
      <w:numFmt w:val="lowerRoman"/>
      <w:lvlText w:val="%3."/>
      <w:lvlJc w:val="right"/>
      <w:pPr>
        <w:ind w:left="1800" w:hanging="180"/>
      </w:pPr>
    </w:lvl>
    <w:lvl w:ilvl="3" w:tplc="141A000F">
      <w:start w:val="1"/>
      <w:numFmt w:val="decimal"/>
      <w:lvlText w:val="%4."/>
      <w:lvlJc w:val="left"/>
      <w:pPr>
        <w:ind w:left="2520" w:hanging="360"/>
      </w:pPr>
    </w:lvl>
    <w:lvl w:ilvl="4" w:tplc="141A0019">
      <w:start w:val="1"/>
      <w:numFmt w:val="lowerLetter"/>
      <w:lvlText w:val="%5."/>
      <w:lvlJc w:val="left"/>
      <w:pPr>
        <w:ind w:left="3240" w:hanging="360"/>
      </w:pPr>
    </w:lvl>
    <w:lvl w:ilvl="5" w:tplc="141A001B">
      <w:start w:val="1"/>
      <w:numFmt w:val="lowerRoman"/>
      <w:lvlText w:val="%6."/>
      <w:lvlJc w:val="right"/>
      <w:pPr>
        <w:ind w:left="3960" w:hanging="180"/>
      </w:pPr>
    </w:lvl>
    <w:lvl w:ilvl="6" w:tplc="141A000F">
      <w:start w:val="1"/>
      <w:numFmt w:val="decimal"/>
      <w:lvlText w:val="%7."/>
      <w:lvlJc w:val="left"/>
      <w:pPr>
        <w:ind w:left="4680" w:hanging="360"/>
      </w:pPr>
    </w:lvl>
    <w:lvl w:ilvl="7" w:tplc="141A0019">
      <w:start w:val="1"/>
      <w:numFmt w:val="lowerLetter"/>
      <w:lvlText w:val="%8."/>
      <w:lvlJc w:val="left"/>
      <w:pPr>
        <w:ind w:left="5400" w:hanging="360"/>
      </w:pPr>
    </w:lvl>
    <w:lvl w:ilvl="8" w:tplc="141A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CE49F5"/>
    <w:multiLevelType w:val="hybridMultilevel"/>
    <w:tmpl w:val="2604CAC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803F2"/>
    <w:multiLevelType w:val="hybridMultilevel"/>
    <w:tmpl w:val="3BFCC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855AB5"/>
    <w:multiLevelType w:val="hybridMultilevel"/>
    <w:tmpl w:val="FDBA7852"/>
    <w:lvl w:ilvl="0" w:tplc="F642F27A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D691C"/>
    <w:multiLevelType w:val="hybridMultilevel"/>
    <w:tmpl w:val="4E98AB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549B9"/>
    <w:multiLevelType w:val="hybridMultilevel"/>
    <w:tmpl w:val="8CE23592"/>
    <w:lvl w:ilvl="0" w:tplc="EC3404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7B4332"/>
    <w:multiLevelType w:val="hybridMultilevel"/>
    <w:tmpl w:val="6A18ADE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332C9"/>
    <w:multiLevelType w:val="hybridMultilevel"/>
    <w:tmpl w:val="AA6EA812"/>
    <w:lvl w:ilvl="0" w:tplc="08090011">
      <w:start w:val="1"/>
      <w:numFmt w:val="decimal"/>
      <w:lvlText w:val="%1)"/>
      <w:lvlJc w:val="left"/>
      <w:pPr>
        <w:ind w:left="1334" w:hanging="360"/>
      </w:pPr>
    </w:lvl>
    <w:lvl w:ilvl="1" w:tplc="08090019" w:tentative="1">
      <w:start w:val="1"/>
      <w:numFmt w:val="lowerLetter"/>
      <w:lvlText w:val="%2."/>
      <w:lvlJc w:val="left"/>
      <w:pPr>
        <w:ind w:left="2054" w:hanging="360"/>
      </w:pPr>
    </w:lvl>
    <w:lvl w:ilvl="2" w:tplc="0809001B" w:tentative="1">
      <w:start w:val="1"/>
      <w:numFmt w:val="lowerRoman"/>
      <w:lvlText w:val="%3."/>
      <w:lvlJc w:val="right"/>
      <w:pPr>
        <w:ind w:left="2774" w:hanging="180"/>
      </w:pPr>
    </w:lvl>
    <w:lvl w:ilvl="3" w:tplc="0809000F" w:tentative="1">
      <w:start w:val="1"/>
      <w:numFmt w:val="decimal"/>
      <w:lvlText w:val="%4."/>
      <w:lvlJc w:val="left"/>
      <w:pPr>
        <w:ind w:left="3494" w:hanging="360"/>
      </w:pPr>
    </w:lvl>
    <w:lvl w:ilvl="4" w:tplc="08090019" w:tentative="1">
      <w:start w:val="1"/>
      <w:numFmt w:val="lowerLetter"/>
      <w:lvlText w:val="%5."/>
      <w:lvlJc w:val="left"/>
      <w:pPr>
        <w:ind w:left="4214" w:hanging="360"/>
      </w:pPr>
    </w:lvl>
    <w:lvl w:ilvl="5" w:tplc="0809001B" w:tentative="1">
      <w:start w:val="1"/>
      <w:numFmt w:val="lowerRoman"/>
      <w:lvlText w:val="%6."/>
      <w:lvlJc w:val="right"/>
      <w:pPr>
        <w:ind w:left="4934" w:hanging="180"/>
      </w:pPr>
    </w:lvl>
    <w:lvl w:ilvl="6" w:tplc="0809000F" w:tentative="1">
      <w:start w:val="1"/>
      <w:numFmt w:val="decimal"/>
      <w:lvlText w:val="%7."/>
      <w:lvlJc w:val="left"/>
      <w:pPr>
        <w:ind w:left="5654" w:hanging="360"/>
      </w:pPr>
    </w:lvl>
    <w:lvl w:ilvl="7" w:tplc="08090019" w:tentative="1">
      <w:start w:val="1"/>
      <w:numFmt w:val="lowerLetter"/>
      <w:lvlText w:val="%8."/>
      <w:lvlJc w:val="left"/>
      <w:pPr>
        <w:ind w:left="6374" w:hanging="360"/>
      </w:pPr>
    </w:lvl>
    <w:lvl w:ilvl="8" w:tplc="0809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12">
    <w:nsid w:val="201D255C"/>
    <w:multiLevelType w:val="hybridMultilevel"/>
    <w:tmpl w:val="94CCD0F4"/>
    <w:lvl w:ilvl="0" w:tplc="A36E1C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D96A24"/>
    <w:multiLevelType w:val="hybridMultilevel"/>
    <w:tmpl w:val="607499D4"/>
    <w:lvl w:ilvl="0" w:tplc="1018DFB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E34904"/>
    <w:multiLevelType w:val="hybridMultilevel"/>
    <w:tmpl w:val="D57A2376"/>
    <w:lvl w:ilvl="0" w:tplc="28627BD0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DD627F8"/>
    <w:multiLevelType w:val="hybridMultilevel"/>
    <w:tmpl w:val="5F36F044"/>
    <w:lvl w:ilvl="0" w:tplc="0809000F">
      <w:start w:val="1"/>
      <w:numFmt w:val="decimal"/>
      <w:lvlText w:val="%1."/>
      <w:lvlJc w:val="left"/>
      <w:pPr>
        <w:ind w:left="1571" w:hanging="360"/>
      </w:pPr>
    </w:lvl>
    <w:lvl w:ilvl="1" w:tplc="DF6E213A">
      <w:start w:val="1"/>
      <w:numFmt w:val="decimal"/>
      <w:lvlText w:val="%2."/>
      <w:lvlJc w:val="left"/>
      <w:pPr>
        <w:ind w:left="2291" w:hanging="360"/>
      </w:pPr>
      <w:rPr>
        <w:strike w:val="0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320E077E"/>
    <w:multiLevelType w:val="hybridMultilevel"/>
    <w:tmpl w:val="2BA4AB78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52D2DB5"/>
    <w:multiLevelType w:val="hybridMultilevel"/>
    <w:tmpl w:val="45180E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312D95"/>
    <w:multiLevelType w:val="hybridMultilevel"/>
    <w:tmpl w:val="F72297C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2B1B7E"/>
    <w:multiLevelType w:val="hybridMultilevel"/>
    <w:tmpl w:val="34924E24"/>
    <w:lvl w:ilvl="0" w:tplc="0A86F208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3F1BB0"/>
    <w:multiLevelType w:val="hybridMultilevel"/>
    <w:tmpl w:val="F77C12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746C20"/>
    <w:multiLevelType w:val="hybridMultilevel"/>
    <w:tmpl w:val="5070406C"/>
    <w:lvl w:ilvl="0" w:tplc="EC3404F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6F0BCA"/>
    <w:multiLevelType w:val="hybridMultilevel"/>
    <w:tmpl w:val="0A886F68"/>
    <w:lvl w:ilvl="0" w:tplc="EC3404F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1A7C0A"/>
    <w:multiLevelType w:val="hybridMultilevel"/>
    <w:tmpl w:val="FBDCD126"/>
    <w:lvl w:ilvl="0" w:tplc="08090011">
      <w:start w:val="1"/>
      <w:numFmt w:val="decimal"/>
      <w:lvlText w:val="%1)"/>
      <w:lvlJc w:val="left"/>
      <w:pPr>
        <w:ind w:left="1334" w:hanging="360"/>
      </w:pPr>
    </w:lvl>
    <w:lvl w:ilvl="1" w:tplc="08090019" w:tentative="1">
      <w:start w:val="1"/>
      <w:numFmt w:val="lowerLetter"/>
      <w:lvlText w:val="%2."/>
      <w:lvlJc w:val="left"/>
      <w:pPr>
        <w:ind w:left="2054" w:hanging="360"/>
      </w:pPr>
    </w:lvl>
    <w:lvl w:ilvl="2" w:tplc="0809001B" w:tentative="1">
      <w:start w:val="1"/>
      <w:numFmt w:val="lowerRoman"/>
      <w:lvlText w:val="%3."/>
      <w:lvlJc w:val="right"/>
      <w:pPr>
        <w:ind w:left="2774" w:hanging="180"/>
      </w:pPr>
    </w:lvl>
    <w:lvl w:ilvl="3" w:tplc="0809000F" w:tentative="1">
      <w:start w:val="1"/>
      <w:numFmt w:val="decimal"/>
      <w:lvlText w:val="%4."/>
      <w:lvlJc w:val="left"/>
      <w:pPr>
        <w:ind w:left="3494" w:hanging="360"/>
      </w:pPr>
    </w:lvl>
    <w:lvl w:ilvl="4" w:tplc="08090019" w:tentative="1">
      <w:start w:val="1"/>
      <w:numFmt w:val="lowerLetter"/>
      <w:lvlText w:val="%5."/>
      <w:lvlJc w:val="left"/>
      <w:pPr>
        <w:ind w:left="4214" w:hanging="360"/>
      </w:pPr>
    </w:lvl>
    <w:lvl w:ilvl="5" w:tplc="0809001B" w:tentative="1">
      <w:start w:val="1"/>
      <w:numFmt w:val="lowerRoman"/>
      <w:lvlText w:val="%6."/>
      <w:lvlJc w:val="right"/>
      <w:pPr>
        <w:ind w:left="4934" w:hanging="180"/>
      </w:pPr>
    </w:lvl>
    <w:lvl w:ilvl="6" w:tplc="0809000F" w:tentative="1">
      <w:start w:val="1"/>
      <w:numFmt w:val="decimal"/>
      <w:lvlText w:val="%7."/>
      <w:lvlJc w:val="left"/>
      <w:pPr>
        <w:ind w:left="5654" w:hanging="360"/>
      </w:pPr>
    </w:lvl>
    <w:lvl w:ilvl="7" w:tplc="08090019" w:tentative="1">
      <w:start w:val="1"/>
      <w:numFmt w:val="lowerLetter"/>
      <w:lvlText w:val="%8."/>
      <w:lvlJc w:val="left"/>
      <w:pPr>
        <w:ind w:left="6374" w:hanging="360"/>
      </w:pPr>
    </w:lvl>
    <w:lvl w:ilvl="8" w:tplc="0809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25">
    <w:nsid w:val="40EE3AF6"/>
    <w:multiLevelType w:val="hybridMultilevel"/>
    <w:tmpl w:val="98D49EA2"/>
    <w:lvl w:ilvl="0" w:tplc="EC3404F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3BE109E"/>
    <w:multiLevelType w:val="hybridMultilevel"/>
    <w:tmpl w:val="76DC691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701F4"/>
    <w:multiLevelType w:val="hybridMultilevel"/>
    <w:tmpl w:val="182CC28E"/>
    <w:lvl w:ilvl="0" w:tplc="DADCC214">
      <w:start w:val="1"/>
      <w:numFmt w:val="bullet"/>
      <w:lvlText w:val="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>
    <w:nsid w:val="46A57ACB"/>
    <w:multiLevelType w:val="hybridMultilevel"/>
    <w:tmpl w:val="986C0FF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584378"/>
    <w:multiLevelType w:val="hybridMultilevel"/>
    <w:tmpl w:val="A210C7C2"/>
    <w:lvl w:ilvl="0" w:tplc="DADCC21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0E93C24"/>
    <w:multiLevelType w:val="hybridMultilevel"/>
    <w:tmpl w:val="46405816"/>
    <w:lvl w:ilvl="0" w:tplc="50A43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B314F8"/>
    <w:multiLevelType w:val="hybridMultilevel"/>
    <w:tmpl w:val="1660AA5C"/>
    <w:lvl w:ilvl="0" w:tplc="3D2641CE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55224BC4"/>
    <w:multiLevelType w:val="hybridMultilevel"/>
    <w:tmpl w:val="EF84398C"/>
    <w:lvl w:ilvl="0" w:tplc="F5684E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B95AC0"/>
    <w:multiLevelType w:val="hybridMultilevel"/>
    <w:tmpl w:val="76DC691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56330"/>
    <w:multiLevelType w:val="hybridMultilevel"/>
    <w:tmpl w:val="6A548F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2438E"/>
    <w:multiLevelType w:val="hybridMultilevel"/>
    <w:tmpl w:val="A52026B4"/>
    <w:lvl w:ilvl="0" w:tplc="DADCC214">
      <w:start w:val="1"/>
      <w:numFmt w:val="bullet"/>
      <w:lvlText w:val="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>
    <w:nsid w:val="5EE13AE2"/>
    <w:multiLevelType w:val="hybridMultilevel"/>
    <w:tmpl w:val="795AE4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00560E8"/>
    <w:multiLevelType w:val="hybridMultilevel"/>
    <w:tmpl w:val="B860CD3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041B44"/>
    <w:multiLevelType w:val="hybridMultilevel"/>
    <w:tmpl w:val="53DECC6C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1E5445"/>
    <w:multiLevelType w:val="hybridMultilevel"/>
    <w:tmpl w:val="C97C387C"/>
    <w:lvl w:ilvl="0" w:tplc="7F64C824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7C53E9F"/>
    <w:multiLevelType w:val="hybridMultilevel"/>
    <w:tmpl w:val="1D0CA9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6208E6"/>
    <w:multiLevelType w:val="hybridMultilevel"/>
    <w:tmpl w:val="3CA4CCF2"/>
    <w:lvl w:ilvl="0" w:tplc="B5F86FE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B9640B"/>
    <w:multiLevelType w:val="hybridMultilevel"/>
    <w:tmpl w:val="A6245396"/>
    <w:lvl w:ilvl="0" w:tplc="EC3404F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7DD2997"/>
    <w:multiLevelType w:val="hybridMultilevel"/>
    <w:tmpl w:val="B442EBFC"/>
    <w:lvl w:ilvl="0" w:tplc="9BA0E6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D158BA4C">
      <w:numFmt w:val="bullet"/>
      <w:lvlText w:val="-"/>
      <w:lvlJc w:val="left"/>
      <w:pPr>
        <w:ind w:left="1647" w:hanging="360"/>
      </w:pPr>
      <w:rPr>
        <w:rFonts w:ascii="Calibri" w:eastAsia="Calibri" w:hAnsi="Calibri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AD62D9F"/>
    <w:multiLevelType w:val="hybridMultilevel"/>
    <w:tmpl w:val="6BB6A616"/>
    <w:lvl w:ilvl="0" w:tplc="38987F6E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E490A27"/>
    <w:multiLevelType w:val="hybridMultilevel"/>
    <w:tmpl w:val="538A6696"/>
    <w:lvl w:ilvl="0" w:tplc="DADCC214">
      <w:start w:val="1"/>
      <w:numFmt w:val="bullet"/>
      <w:lvlText w:val="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17"/>
  </w:num>
  <w:num w:numId="4">
    <w:abstractNumId w:val="21"/>
  </w:num>
  <w:num w:numId="5">
    <w:abstractNumId w:val="44"/>
  </w:num>
  <w:num w:numId="6">
    <w:abstractNumId w:val="39"/>
  </w:num>
  <w:num w:numId="7">
    <w:abstractNumId w:val="16"/>
  </w:num>
  <w:num w:numId="8">
    <w:abstractNumId w:val="20"/>
  </w:num>
  <w:num w:numId="9">
    <w:abstractNumId w:val="4"/>
  </w:num>
  <w:num w:numId="10">
    <w:abstractNumId w:val="41"/>
  </w:num>
  <w:num w:numId="11">
    <w:abstractNumId w:val="0"/>
  </w:num>
  <w:num w:numId="12">
    <w:abstractNumId w:val="26"/>
  </w:num>
  <w:num w:numId="13">
    <w:abstractNumId w:val="11"/>
  </w:num>
  <w:num w:numId="14">
    <w:abstractNumId w:val="31"/>
  </w:num>
  <w:num w:numId="15">
    <w:abstractNumId w:val="19"/>
  </w:num>
  <w:num w:numId="16">
    <w:abstractNumId w:val="5"/>
  </w:num>
  <w:num w:numId="17">
    <w:abstractNumId w:val="37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9"/>
  </w:num>
  <w:num w:numId="21">
    <w:abstractNumId w:val="43"/>
  </w:num>
  <w:num w:numId="22">
    <w:abstractNumId w:val="35"/>
  </w:num>
  <w:num w:numId="23">
    <w:abstractNumId w:val="27"/>
  </w:num>
  <w:num w:numId="24">
    <w:abstractNumId w:val="45"/>
  </w:num>
  <w:num w:numId="25">
    <w:abstractNumId w:val="25"/>
  </w:num>
  <w:num w:numId="26">
    <w:abstractNumId w:val="9"/>
  </w:num>
  <w:num w:numId="27">
    <w:abstractNumId w:val="23"/>
  </w:num>
  <w:num w:numId="28">
    <w:abstractNumId w:val="42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3"/>
  </w:num>
  <w:num w:numId="32">
    <w:abstractNumId w:val="24"/>
  </w:num>
  <w:num w:numId="33">
    <w:abstractNumId w:val="28"/>
  </w:num>
  <w:num w:numId="34">
    <w:abstractNumId w:val="13"/>
  </w:num>
  <w:num w:numId="35">
    <w:abstractNumId w:val="30"/>
  </w:num>
  <w:num w:numId="36">
    <w:abstractNumId w:val="32"/>
  </w:num>
  <w:num w:numId="37">
    <w:abstractNumId w:val="14"/>
  </w:num>
  <w:num w:numId="38">
    <w:abstractNumId w:val="38"/>
  </w:num>
  <w:num w:numId="39">
    <w:abstractNumId w:val="15"/>
  </w:num>
  <w:num w:numId="40">
    <w:abstractNumId w:val="7"/>
  </w:num>
  <w:num w:numId="41">
    <w:abstractNumId w:val="22"/>
  </w:num>
  <w:num w:numId="42">
    <w:abstractNumId w:val="2"/>
  </w:num>
  <w:num w:numId="43">
    <w:abstractNumId w:val="8"/>
  </w:num>
  <w:num w:numId="44">
    <w:abstractNumId w:val="1"/>
  </w:num>
  <w:num w:numId="45">
    <w:abstractNumId w:val="6"/>
  </w:num>
  <w:num w:numId="46">
    <w:abstractNumId w:val="36"/>
  </w:num>
  <w:num w:numId="47">
    <w:abstractNumId w:val="1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251"/>
    <w:rsid w:val="00250558"/>
    <w:rsid w:val="00267F6D"/>
    <w:rsid w:val="00581251"/>
    <w:rsid w:val="00AE1D61"/>
    <w:rsid w:val="00B05DD5"/>
    <w:rsid w:val="00C1329D"/>
    <w:rsid w:val="00E96885"/>
    <w:rsid w:val="00EA3C70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D61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329D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29D"/>
    <w:pPr>
      <w:keepNext/>
      <w:keepLines/>
      <w:spacing w:before="200" w:after="0"/>
      <w:jc w:val="center"/>
      <w:outlineLvl w:val="1"/>
    </w:pPr>
    <w:rPr>
      <w:rFonts w:eastAsiaTheme="majorEastAsia" w:cstheme="majorBidi"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329D"/>
    <w:rPr>
      <w:rFonts w:asciiTheme="majorHAnsi" w:eastAsiaTheme="majorEastAsia" w:hAnsiTheme="majorHAnsi" w:cstheme="majorBidi"/>
      <w:bCs/>
      <w:sz w:val="2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1329D"/>
    <w:rPr>
      <w:rFonts w:eastAsiaTheme="majorEastAsia" w:cstheme="majorBidi"/>
      <w:bCs/>
      <w:color w:val="000000" w:themeColor="text1"/>
      <w:szCs w:val="26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132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3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2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29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29D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9D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13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29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3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29D"/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C1329D"/>
    <w:pPr>
      <w:jc w:val="left"/>
      <w:outlineLvl w:val="9"/>
    </w:pPr>
    <w:rPr>
      <w:b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1329D"/>
    <w:pPr>
      <w:tabs>
        <w:tab w:val="right" w:leader="dot" w:pos="9617"/>
      </w:tabs>
      <w:spacing w:after="100"/>
    </w:pPr>
    <w:rPr>
      <w:b/>
      <w:noProof/>
      <w:lang w:val="sr-Cyrl-RS"/>
    </w:rPr>
  </w:style>
  <w:style w:type="paragraph" w:styleId="TOC2">
    <w:name w:val="toc 2"/>
    <w:basedOn w:val="Normal"/>
    <w:next w:val="Normal"/>
    <w:autoRedefine/>
    <w:uiPriority w:val="39"/>
    <w:unhideWhenUsed/>
    <w:rsid w:val="00C1329D"/>
    <w:pPr>
      <w:tabs>
        <w:tab w:val="right" w:leader="dot" w:pos="9617"/>
      </w:tabs>
      <w:spacing w:after="100"/>
      <w:ind w:left="22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C1329D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C1329D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C1329D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C1329D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C1329D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C1329D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C1329D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C1329D"/>
    <w:pPr>
      <w:spacing w:after="100"/>
      <w:ind w:left="1760"/>
    </w:pPr>
    <w:rPr>
      <w:rFonts w:eastAsiaTheme="minorEastAsia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C1329D"/>
  </w:style>
  <w:style w:type="paragraph" w:styleId="FootnoteText">
    <w:name w:val="footnote text"/>
    <w:basedOn w:val="Normal"/>
    <w:link w:val="FootnoteTextChar"/>
    <w:unhideWhenUsed/>
    <w:rsid w:val="00C1329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1329D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C1329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C1329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C1329D"/>
    <w:pPr>
      <w:spacing w:after="0" w:line="240" w:lineRule="auto"/>
    </w:pPr>
    <w:rPr>
      <w:rFonts w:ascii="Calibri" w:eastAsia="Calibri" w:hAnsi="Calibri" w:cs="Times New Roman"/>
    </w:rPr>
  </w:style>
  <w:style w:type="paragraph" w:styleId="Revision">
    <w:name w:val="Revision"/>
    <w:hidden/>
    <w:uiPriority w:val="99"/>
    <w:semiHidden/>
    <w:rsid w:val="00C1329D"/>
    <w:pPr>
      <w:spacing w:after="0" w:line="240" w:lineRule="auto"/>
    </w:pPr>
    <w:rPr>
      <w:lang w:val="en-GB"/>
    </w:rPr>
  </w:style>
  <w:style w:type="paragraph" w:customStyle="1" w:styleId="Default">
    <w:name w:val="Default"/>
    <w:rsid w:val="00C1329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1329D"/>
    <w:rPr>
      <w:lang w:val="en-GB"/>
    </w:rPr>
  </w:style>
  <w:style w:type="character" w:customStyle="1" w:styleId="tekst1">
    <w:name w:val="tekst1"/>
    <w:rsid w:val="00C1329D"/>
    <w:rPr>
      <w:rFonts w:ascii="Arial" w:hAnsi="Arial" w:cs="Arial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D61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329D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29D"/>
    <w:pPr>
      <w:keepNext/>
      <w:keepLines/>
      <w:spacing w:before="200" w:after="0"/>
      <w:jc w:val="center"/>
      <w:outlineLvl w:val="1"/>
    </w:pPr>
    <w:rPr>
      <w:rFonts w:eastAsiaTheme="majorEastAsia" w:cstheme="majorBidi"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329D"/>
    <w:rPr>
      <w:rFonts w:asciiTheme="majorHAnsi" w:eastAsiaTheme="majorEastAsia" w:hAnsiTheme="majorHAnsi" w:cstheme="majorBidi"/>
      <w:bCs/>
      <w:sz w:val="2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1329D"/>
    <w:rPr>
      <w:rFonts w:eastAsiaTheme="majorEastAsia" w:cstheme="majorBidi"/>
      <w:bCs/>
      <w:color w:val="000000" w:themeColor="text1"/>
      <w:szCs w:val="26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132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3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2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29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29D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9D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13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29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132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29D"/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C1329D"/>
    <w:pPr>
      <w:jc w:val="left"/>
      <w:outlineLvl w:val="9"/>
    </w:pPr>
    <w:rPr>
      <w:b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1329D"/>
    <w:pPr>
      <w:tabs>
        <w:tab w:val="right" w:leader="dot" w:pos="9617"/>
      </w:tabs>
      <w:spacing w:after="100"/>
    </w:pPr>
    <w:rPr>
      <w:b/>
      <w:noProof/>
      <w:lang w:val="sr-Cyrl-RS"/>
    </w:rPr>
  </w:style>
  <w:style w:type="paragraph" w:styleId="TOC2">
    <w:name w:val="toc 2"/>
    <w:basedOn w:val="Normal"/>
    <w:next w:val="Normal"/>
    <w:autoRedefine/>
    <w:uiPriority w:val="39"/>
    <w:unhideWhenUsed/>
    <w:rsid w:val="00C1329D"/>
    <w:pPr>
      <w:tabs>
        <w:tab w:val="right" w:leader="dot" w:pos="9617"/>
      </w:tabs>
      <w:spacing w:after="100"/>
      <w:ind w:left="22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C1329D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C1329D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C1329D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C1329D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C1329D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C1329D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C1329D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C1329D"/>
    <w:pPr>
      <w:spacing w:after="100"/>
      <w:ind w:left="1760"/>
    </w:pPr>
    <w:rPr>
      <w:rFonts w:eastAsiaTheme="minorEastAsia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C1329D"/>
  </w:style>
  <w:style w:type="paragraph" w:styleId="FootnoteText">
    <w:name w:val="footnote text"/>
    <w:basedOn w:val="Normal"/>
    <w:link w:val="FootnoteTextChar"/>
    <w:unhideWhenUsed/>
    <w:rsid w:val="00C1329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1329D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C1329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C1329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C1329D"/>
    <w:pPr>
      <w:spacing w:after="0" w:line="240" w:lineRule="auto"/>
    </w:pPr>
    <w:rPr>
      <w:rFonts w:ascii="Calibri" w:eastAsia="Calibri" w:hAnsi="Calibri" w:cs="Times New Roman"/>
    </w:rPr>
  </w:style>
  <w:style w:type="paragraph" w:styleId="Revision">
    <w:name w:val="Revision"/>
    <w:hidden/>
    <w:uiPriority w:val="99"/>
    <w:semiHidden/>
    <w:rsid w:val="00C1329D"/>
    <w:pPr>
      <w:spacing w:after="0" w:line="240" w:lineRule="auto"/>
    </w:pPr>
    <w:rPr>
      <w:lang w:val="en-GB"/>
    </w:rPr>
  </w:style>
  <w:style w:type="paragraph" w:customStyle="1" w:styleId="Default">
    <w:name w:val="Default"/>
    <w:rsid w:val="00C1329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1329D"/>
    <w:rPr>
      <w:lang w:val="en-GB"/>
    </w:rPr>
  </w:style>
  <w:style w:type="character" w:customStyle="1" w:styleId="tekst1">
    <w:name w:val="tekst1"/>
    <w:rsid w:val="00C1329D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9877</Words>
  <Characters>56301</Characters>
  <Application>Microsoft Office Word</Application>
  <DocSecurity>0</DocSecurity>
  <Lines>469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6</cp:revision>
  <cp:lastPrinted>2020-12-03T08:37:00Z</cp:lastPrinted>
  <dcterms:created xsi:type="dcterms:W3CDTF">2020-12-02T10:27:00Z</dcterms:created>
  <dcterms:modified xsi:type="dcterms:W3CDTF">2020-12-03T12:18:00Z</dcterms:modified>
</cp:coreProperties>
</file>